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5"/>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908,623,020</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October 14, 2025</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22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59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0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224"/>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4,742</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13,259</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5,648</w:t>
            </w:r>
          </w:p>
        </w:tc>
        <w:tc>
          <w:tcPr>
            <w:tcW w:w="12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23"/>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2,723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7,611</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1,414</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604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1,663</w:t>
            </w:r>
          </w:p>
        </w:tc>
        <w:tc>
          <w:tcPr>
            <w:tcW w:w="10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4,550</w:t>
            </w:r>
          </w:p>
        </w:tc>
        <w:tc>
          <w:tcPr>
            <w:tcW w:w="12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402</w:t>
            </w:r>
          </w:p>
        </w:tc>
        <w:tc>
          <w:tcPr>
            <w:tcW w:w="12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(EPS):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59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4.18</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59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04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909</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909</w:t>
            </w:r>
          </w:p>
        </w:tc>
        <w:tc>
          <w:tcPr>
            <w:tcW w:w="1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59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 w:right="76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1,364</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3,838</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3,594</w:t>
            </w:r>
          </w:p>
        </w:tc>
      </w:tr>
      <w:tr>
        <w:trPr>
          <w:trHeight w:val="230"/>
        </w:trPr>
        <w:tc>
          <w:tcPr>
            <w:tcW w:w="6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6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3,817</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3,576</w:t>
            </w:r>
          </w:p>
        </w:tc>
      </w:tr>
      <w:tr>
        <w:trPr>
          <w:trHeight w:val="20"/>
        </w:trPr>
        <w:tc>
          <w:tcPr>
            <w:tcW w:w="60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6"/>
        </w:trPr>
        <w:tc>
          <w:tcPr>
            <w:tcW w:w="60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60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224"/>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3,838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($1) and $5; $6 and $2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DBDBDB"/>
          </w:tcPr>
          <w:p>
            <w:pPr>
              <w:ind w:left="220"/>
              <w:spacing w:after="0" w:line="176" w:lineRule="exact"/>
              <w:rPr>
                <w:sz w:val="20"/>
                <w:szCs w:val="20"/>
                <w:color w:val="auto"/>
              </w:rPr>
            </w:pPr>
            <w:r>
              <w:rPr>
                <w:rFonts w:ascii="Arial" w:cs="Arial" w:eastAsia="Arial" w:hAnsi="Arial"/>
                <w:sz w:val="18"/>
                <w:szCs w:val="18"/>
                <w:color w:val="auto"/>
              </w:rPr>
              <w:t>Recognized within net income, net of tax effect of ($1) and ($1); ($3)</w:t>
            </w: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and ($3)</w:t>
            </w: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7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7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Prior service cost (credit) of defined benefit plans: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$0 and $0; $0 and $0</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$0 and $0; $0 and $0</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gains (losses), net of tax effect of $1 and ($4); $1 and ($2)</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1,371</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3,829</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0"/>
        </w:trPr>
        <w:tc>
          <w:tcPr>
            <w:tcW w:w="60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3,311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($21) and ($21)</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2,460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1,938</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4,829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1,799</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13,876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15,026</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15,254</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(4,966)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2,841</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3,118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12,846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1,528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18,377</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18,606</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52,369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52,262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September 30, 2025 – 832; December 31, 2024 – 830</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(41,744)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(40,895)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16,627</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16,903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3,838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4,899</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(3,625)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U.S. CHIPS and Science Act (CHIPS Act) incentives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5,198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(763)</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(1,074)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(4,025)</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
        </w:trPr>
        <w:tc>
          <w:tcPr>
            <w:tcW w:w="86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Investment tax credit (ITC) used to reduce income taxes payable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Proceeds from CHIPS Act incentives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CHIPS Act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581</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products that have similar design and development requirements, product characteristics and manufacturing processes. Our segments reflect how our chief operating decision maker (CODM), which is our chief executive officer, allocates resources and measures results.</w:t>
      </w:r>
    </w:p>
    <w:p>
      <w:pPr>
        <w:spacing w:after="0" w:line="176" w:lineRule="exact"/>
        <w:rPr>
          <w:sz w:val="20"/>
          <w:szCs w:val="20"/>
          <w:color w:val="auto"/>
        </w:rPr>
      </w:pPr>
    </w:p>
    <w:p>
      <w:pPr>
        <w:ind w:left="62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79"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Costs incurred by our centralized manufacturing and support organizations, including depreciation, are charged to the operating segments, including those in Other, on a per-unit basis. Consequently, depreciation expense is not an independently identifiable component within the segments’ results and, therefore, is not provided.</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CODM evaluate operating segments using discrete asset information. We have no material intersegment revenue. The accounting policies of the segments are consistent with those described in the significant accounting policies and practices.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Three Months Ended September 30,</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Analog</w:t>
            </w:r>
          </w:p>
        </w:tc>
        <w:tc>
          <w:tcPr>
            <w:tcW w:w="12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Embedded</w:t>
            </w:r>
          </w:p>
        </w:tc>
        <w:tc>
          <w:tcPr>
            <w:tcW w:w="24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Analog</w:t>
            </w:r>
          </w:p>
        </w:tc>
        <w:tc>
          <w:tcPr>
            <w:tcW w:w="140" w:type="dxa"/>
            <w:vAlign w:val="bottom"/>
          </w:tcPr>
          <w:p>
            <w:pPr>
              <w:spacing w:after="0"/>
              <w:rPr>
                <w:sz w:val="12"/>
                <w:szCs w:val="12"/>
                <w:color w:val="auto"/>
              </w:rPr>
            </w:pPr>
          </w:p>
        </w:tc>
        <w:tc>
          <w:tcPr>
            <w:tcW w:w="10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Embedded</w:t>
            </w:r>
          </w:p>
        </w:tc>
        <w:tc>
          <w:tcPr>
            <w:tcW w:w="22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Processing</w:t>
            </w: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3,729</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709</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304</w:t>
            </w: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4,742</w:t>
            </w:r>
          </w:p>
        </w:tc>
        <w:tc>
          <w:tcPr>
            <w:tcW w:w="1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1,543</w:t>
            </w: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3"/>
        </w:trPr>
        <w:tc>
          <w:tcPr>
            <w:tcW w:w="1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2,186</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2,723</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1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SG&amp;A</w:t>
            </w:r>
          </w:p>
        </w:tc>
        <w:tc>
          <w:tcPr>
            <w:tcW w:w="20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329</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457</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75"/>
        </w:trPr>
        <w:tc>
          <w:tcPr>
            <w:tcW w:w="1960" w:type="dxa"/>
            <w:vAlign w:val="bottom"/>
          </w:tcPr>
          <w:p>
            <w:pPr>
              <w:ind w:left="20"/>
              <w:spacing w:after="0" w:line="176" w:lineRule="exact"/>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charges/other</w:t>
            </w:r>
          </w:p>
        </w:tc>
        <w:tc>
          <w:tcPr>
            <w:tcW w:w="20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1,486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1,663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
        </w:trPr>
        <w:tc>
          <w:tcPr>
            <w:tcW w:w="19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Nine Months Ended September 30,</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Analog</w:t>
            </w:r>
          </w:p>
        </w:tc>
        <w:tc>
          <w:tcPr>
            <w:tcW w:w="140" w:type="dxa"/>
            <w:vAlign w:val="bottom"/>
          </w:tcPr>
          <w:p>
            <w:pPr>
              <w:spacing w:after="0"/>
              <w:rPr>
                <w:sz w:val="12"/>
                <w:szCs w:val="12"/>
                <w:color w:val="auto"/>
              </w:rPr>
            </w:pPr>
          </w:p>
        </w:tc>
        <w:tc>
          <w:tcPr>
            <w:tcW w:w="10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Embedded</w:t>
            </w:r>
          </w:p>
        </w:tc>
        <w:tc>
          <w:tcPr>
            <w:tcW w:w="22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Analog</w:t>
            </w:r>
          </w:p>
        </w:tc>
        <w:tc>
          <w:tcPr>
            <w:tcW w:w="140" w:type="dxa"/>
            <w:vAlign w:val="bottom"/>
          </w:tcPr>
          <w:p>
            <w:pPr>
              <w:spacing w:after="0"/>
              <w:rPr>
                <w:sz w:val="12"/>
                <w:szCs w:val="12"/>
                <w:color w:val="auto"/>
              </w:rPr>
            </w:pPr>
          </w:p>
        </w:tc>
        <w:tc>
          <w:tcPr>
            <w:tcW w:w="10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Embedded</w:t>
            </w:r>
          </w:p>
        </w:tc>
        <w:tc>
          <w:tcPr>
            <w:tcW w:w="22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Processing</w:t>
            </w: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Processing</w:t>
            </w: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10,391</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2,035</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833</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13,259</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4,234</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1,113</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5,648</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23"/>
        </w:trPr>
        <w:tc>
          <w:tcPr>
            <w:tcW w:w="1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6,157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7,611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5,387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9"/>
        </w:trPr>
        <w:tc>
          <w:tcPr>
            <w:tcW w:w="1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SG&amp;A</w:t>
            </w: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1,017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309</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1,414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line="176" w:lineRule="exact"/>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charges/other</w:t>
            </w:r>
          </w:p>
        </w:tc>
        <w:tc>
          <w:tcPr>
            <w:tcW w:w="20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4,017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4,550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0"/>
        </w:trPr>
        <w:tc>
          <w:tcPr>
            <w:tcW w:w="19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Our estimate for revenue based on the geographic location of our end customers’ headquarters, which represents where critical decisions are made,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For Three Months Ended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rPr>
              <w:t>For Nine Months Ended</w:t>
            </w:r>
          </w:p>
        </w:tc>
        <w:tc>
          <w:tcPr>
            <w:tcW w:w="660" w:type="dxa"/>
            <w:vAlign w:val="bottom"/>
          </w:tcPr>
          <w:p>
            <w:pPr>
              <w:spacing w:after="0"/>
              <w:rPr>
                <w:sz w:val="17"/>
                <w:szCs w:val="17"/>
                <w:color w:val="auto"/>
              </w:rPr>
            </w:pPr>
          </w:p>
        </w:tc>
      </w:tr>
      <w:tr>
        <w:trPr>
          <w:trHeight w:val="204"/>
        </w:trPr>
        <w:tc>
          <w:tcPr>
            <w:tcW w:w="3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r>
      <w:tr>
        <w:trPr>
          <w:trHeight w:val="196"/>
        </w:trPr>
        <w:tc>
          <w:tcPr>
            <w:tcW w:w="33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11"/>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1,859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5,084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3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1,019</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2,830</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19</w:t>
            </w: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3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972</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2,799</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23</w:t>
            </w: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8</w:t>
            </w:r>
          </w:p>
        </w:tc>
      </w:tr>
      <w:tr>
        <w:trPr>
          <w:trHeight w:val="230"/>
        </w:trPr>
        <w:tc>
          <w:tcPr>
            <w:tcW w:w="3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13,259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right="340" w:hanging="332"/>
        <w:spacing w:after="0" w:line="287"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10% and 11% in the third quarters of 2025 and 2024, respectively, and 10% and 12% in the first nine months of 2025 and 2024, respectively.</w:t>
      </w:r>
    </w:p>
    <w:p>
      <w:pPr>
        <w:spacing w:after="0" w:line="153"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2024. The Consolidated Statements of Income, Comprehensive Income and Cash Flows for the periods ended September 30, 2025 and 2024, and the Consolidated Balance Sheet as of September 30, 2025,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2024. The results for the three- and nine-month periods are not necessarily indicative of a full year’s results.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0"/>
          </w:tcPr>
          <w:p>
            <w:pPr>
              <w:jc w:val="center"/>
              <w:ind w:left="818"/>
              <w:spacing w:after="0"/>
              <w:rPr>
                <w:sz w:val="20"/>
                <w:szCs w:val="20"/>
                <w:color w:val="auto"/>
              </w:rPr>
            </w:pPr>
            <w:r>
              <w:rPr>
                <w:rFonts w:ascii="Arial" w:cs="Arial" w:eastAsia="Arial" w:hAnsi="Arial"/>
                <w:sz w:val="14"/>
                <w:szCs w:val="14"/>
                <w:b w:val="1"/>
                <w:bCs w:val="1"/>
                <w:color w:val="auto"/>
              </w:rPr>
              <w:t>For Three Months Ended September 30,</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9"/>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w:t>
            </w:r>
          </w:p>
        </w:tc>
        <w:tc>
          <w:tcPr>
            <w:tcW w:w="60" w:type="dxa"/>
            <w:vAlign w:val="bottom"/>
            <w:tcBorders>
              <w:bottom w:val="single" w:sz="8" w:color="auto"/>
            </w:tcBorders>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5"/>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rPr>
              <w:t>For Nine Months Ended September 30,</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10"/>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9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3,838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3,838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3,817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914</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Potentially dilutive securities representing 4 million and 3 million shares of common stock that were outstanding during the third quarters of 2025 and 2024, respectively, and 10 million and 9 million shares outstanding during the first nine months of 2025 and 2024, respectively, were excluded from the computation of diluted earnings per common share during these periods because their effect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fair value of the swaps and the related deferred compensation liabilities in SG&amp;A.</w:t>
      </w:r>
    </w:p>
    <w:p>
      <w:pPr>
        <w:spacing w:after="0" w:line="171"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September 30, 2025.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September 30, 2025, the carrying value of long-term debt, including the current portion, was $14.05 billion, and the estimated fair value was $ 13.30 billion. The estimated fair value is measured using broker-dealer quotes, which are Level 2 inputs. See Note 4 for a description of fair value and the definition of Level 2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2023-09, Improvements to Income Tax Disclosures</w:t>
      </w:r>
    </w:p>
    <w:p>
      <w:pPr>
        <w:spacing w:after="0" w:line="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This standard requires disaggregated income tax disclosures on effective tax rate reconciliations and income taxes paid. ASU 2023-09 is effective for annual reporting periods beginning after December 15, 2024. As a result of adopting this guidance, our income tax disclosures will be expanded.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2024-03, Disaggregation of Income Statement Expenses</w:t>
      </w:r>
    </w:p>
    <w:p>
      <w:pPr>
        <w:spacing w:after="0" w:line="25"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This standard requires disaggregated disclosures of certain expense captions into specified categories in the notes to the financial statements. ASU 2024-03 is effective for annual reporting periods beginning after December 15, 2026. We are currently evaluating the potential impact of this standard on our financial statement disclosures.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2025-06, Targeted Improvements to the Accounting for Internal-Use Software</w:t>
      </w:r>
    </w:p>
    <w:p>
      <w:pPr>
        <w:spacing w:after="0" w:line="25"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This standard makes targeted improvements that clarify and modernize the accounting for costs related to internal-use software. ASU 2025-06 is effective for interim and annual reporting periods beginning after December 15, 2027. We are currently evaluating the potential impact of this standard on our financial statements and related disclosures.</w:t>
      </w: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242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Nine Months Ended</w:t>
            </w:r>
          </w:p>
        </w:tc>
      </w:tr>
      <w:tr>
        <w:trPr>
          <w:trHeight w:val="204"/>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6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r>
      <w:tr>
        <w:trPr>
          <w:trHeight w:val="224"/>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249</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614</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573</w:t>
            </w:r>
          </w:p>
        </w:tc>
      </w:tr>
      <w:tr>
        <w:trPr>
          <w:trHeight w:val="229"/>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(114)</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(73)</w:t>
            </w:r>
          </w:p>
        </w:tc>
      </w:tr>
      <w:tr>
        <w:trPr>
          <w:trHeight w:val="248"/>
        </w:trPr>
        <w:tc>
          <w:tcPr>
            <w:tcW w:w="5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220</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500</w:t>
            </w: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14 %</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12 %</w:t>
            </w:r>
          </w:p>
        </w:tc>
      </w:tr>
    </w:tbl>
    <w:p>
      <w:pPr>
        <w:spacing w:after="0" w:line="2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July 4, 2025, the U.S. government enacted the One Big Beautiful Bill Act (OBBBA). The OBBBA provides changes to U.S. federal tax law, including expensing of U.S. research expenditures and eligible capital expenditures, increasing the U.S. CHIPS Act investment tax credit and changing other tax provisions. The effects of the new law are reflected in the consolidated financial statements as of and for the periods ended September 30, 2025.</w:t>
      </w:r>
    </w:p>
    <w:p>
      <w:pPr>
        <w:spacing w:after="0" w:line="176"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effective tax rate differs from the 21% U.S. statutory corporate tax rate due to the effect of U.S. tax benefits, including the effect of OBBBA.</w:t>
      </w:r>
    </w:p>
    <w:p>
      <w:pPr>
        <w:spacing w:after="0" w:line="153"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738</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174</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2,957</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1,875</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6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3,311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1,875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and December 31, 2024, unrealized gains and losses associated with our debt investments were not material.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credit losses related to debt investments for the first nine months of 2025 and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debt investments as of September 30,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3,764</w:t>
            </w:r>
          </w:p>
        </w:tc>
      </w:tr>
      <w:tr>
        <w:trPr>
          <w:trHeight w:val="239"/>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w:t>
            </w:r>
          </w:p>
        </w:tc>
      </w:tr>
    </w:tbl>
    <w:p>
      <w:pPr>
        <w:spacing w:after="0" w:line="26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Proceeds from sales, redemptions and maturities of short-term debt investments were $ 1.26 billion and $2.70 billion for the third quarters of 2025 and 2024, respectively, and $5.20 billion and $8.46 billion for the first nine months of 2025 and 2024, respectively. Gross realized gains and losses from these sales were not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in an orderly transaction between market participants on the measurement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inputs used to estimate fair-value measurements.</w:t>
      </w:r>
    </w:p>
    <w:p>
      <w:pPr>
        <w:spacing w:after="0" w:line="225" w:lineRule="exact"/>
        <w:rPr>
          <w:sz w:val="20"/>
          <w:szCs w:val="20"/>
          <w:color w:val="auto"/>
        </w:rPr>
      </w:pPr>
    </w:p>
    <w:p>
      <w:pPr>
        <w:ind w:left="620" w:right="180" w:hanging="329"/>
        <w:spacing w:after="0" w:line="28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44" w:lineRule="exact"/>
        <w:rPr>
          <w:rFonts w:ascii="Arial" w:cs="Arial" w:eastAsia="Arial" w:hAnsi="Arial"/>
          <w:sz w:val="18"/>
          <w:szCs w:val="18"/>
          <w:color w:val="auto"/>
        </w:rPr>
      </w:pPr>
    </w:p>
    <w:p>
      <w:pPr>
        <w:ind w:left="620" w:right="140" w:hanging="329"/>
        <w:spacing w:after="0" w:line="262"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measurement date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correlation with market data. Inputs include quoted prices for similar assets and liabilities in active markets, quoted prices in markets that are not active and models or other pricing methodologies that do not require significant judgment. We utilize a third-party data service to provide Level 2 valuations, and we verify these valuations for reasonableness.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right="260" w:hanging="329"/>
        <w:spacing w:after="0" w:line="287"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As of September 30, 2025, and December 31, 2024, we had no Level 3 assets or liabilities.</w:t>
      </w:r>
    </w:p>
    <w:p>
      <w:pPr>
        <w:spacing w:after="0" w:line="15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rPr>
              <w:t>September 30, 2025</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2024</w:t>
            </w:r>
          </w:p>
        </w:tc>
        <w:tc>
          <w:tcPr>
            <w:tcW w:w="78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24"/>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1,241</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1,490</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4,237</w:t>
            </w:r>
          </w:p>
        </w:tc>
      </w:tr>
      <w:tr>
        <w:trPr>
          <w:trHeight w:val="230"/>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2,979</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1,864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4,843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3,364</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6,848</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475</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443</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443</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rPr>
              <w:t>U.S. Defined Benefit</w:t>
            </w:r>
          </w:p>
        </w:tc>
        <w:tc>
          <w:tcPr>
            <w:tcW w:w="220" w:type="dxa"/>
            <w:vAlign w:val="bottom"/>
          </w:tcPr>
          <w:p>
            <w:pPr>
              <w:spacing w:after="0"/>
              <w:rPr>
                <w:sz w:val="17"/>
                <w:szCs w:val="17"/>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U.S. Retiree Health Care</w:t>
            </w:r>
          </w:p>
        </w:tc>
        <w:tc>
          <w:tcPr>
            <w:tcW w:w="220" w:type="dxa"/>
            <w:vAlign w:val="bottom"/>
          </w:tcPr>
          <w:p>
            <w:pPr>
              <w:spacing w:after="0"/>
              <w:rPr>
                <w:sz w:val="17"/>
                <w:szCs w:val="17"/>
                <w:color w:val="auto"/>
              </w:rPr>
            </w:pPr>
          </w:p>
        </w:tc>
        <w:tc>
          <w:tcPr>
            <w:tcW w:w="21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September 30,</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benefit costs (credits)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83"/>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rPr>
              <w:t>U.S. Defined Benefit</w:t>
            </w:r>
          </w:p>
        </w:tc>
        <w:tc>
          <w:tcPr>
            <w:tcW w:w="220" w:type="dxa"/>
            <w:vAlign w:val="bottom"/>
          </w:tcPr>
          <w:p>
            <w:pPr>
              <w:spacing w:after="0"/>
              <w:rPr>
                <w:sz w:val="24"/>
                <w:szCs w:val="24"/>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U.S. Retiree Health Care</w:t>
            </w:r>
          </w:p>
        </w:tc>
        <w:tc>
          <w:tcPr>
            <w:tcW w:w="220" w:type="dxa"/>
            <w:vAlign w:val="bottom"/>
          </w:tcPr>
          <w:p>
            <w:pPr>
              <w:spacing w:after="0"/>
              <w:rPr>
                <w:sz w:val="24"/>
                <w:szCs w:val="24"/>
                <w:color w:val="auto"/>
              </w:rPr>
            </w:pPr>
          </w:p>
        </w:tc>
        <w:tc>
          <w:tcPr>
            <w:tcW w:w="21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Nine Months Ended September 30,</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benefit costs (credits)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48"/>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9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1"/>
        </w:trPr>
        <w:tc>
          <w:tcPr>
            <w:tcW w:w="4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September 30, 2025, the aforementioned line of credit was a variable-rate, revolving credit facility from a consortium of investment-grade banks that allows us to borrow up to $1 billion until March 2026. The interest rate on borrowings under this credit facility, if drawn, is indexed to the applicable Term Secured Overnight Financing Rate (Term SOFR). As of September 30, 2025,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May 2025, we issued two series of senior unsecured notes for an aggregate principal amount of $1.20 billion, consisting of $550 million of 4.50% notes due in 2030 and $650 million of 5.10% notes due in 2035. We incurred $6 million of issuance and other related costs. The proceeds of the offering were $1.20 billion, net of the original issuance discounts, which will be used for general corporate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March 2025, we retired $750 million of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32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2025 at 1.375%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2026 at 1.125%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2027 at 4.60%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2029 at 4.60%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2030 at 4.50%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2031 at 1.90%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2032 at 3.65%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2033 at 4.90%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2034 at 4.85%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2035 at 5.10%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2054 at 5.15%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2063 at 5.05%</w:t>
            </w:r>
          </w:p>
        </w:tc>
        <w:tc>
          <w:tcPr>
            <w:tcW w:w="1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1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14,046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13,596</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12,846</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552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8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and debt expense was $141 million and $ 131 million for the third quarters of 2025 and 2024, respectively, and $402 million and $378 million for the first nine months of 2025 and 2024, respectively. This was net of the amortized discounts, premiums and issuance and other related costs. Capitalized interest was $3 million and $ 5 million for the third quarters of 2025 and 2024, respectively, and $9 million and $16 million for the first nine months of 2025 and 2024,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2024</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52,262</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(40,895)</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($1.36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2025</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52,196</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(41,442)</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($1.36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June 30, 2025</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52,249</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(41,676)</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($1.36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(1,236)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2025</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(41,744)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2023</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52,283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(40,284)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($1.30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2024</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52,199</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(40,193)</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6"/>
        </w:trPr>
        <w:tc>
          <w:tcPr>
            <w:tcW w:w="52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($1.30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2024</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52,135</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(40,128)</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Dividends declared and paid ($1.30 per share)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September 30, 2024</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52,304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(40,395)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53"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During the third quarter and first nine months of 2025, we recognized $ 85 million of restructuring charges related to efforts to drive operational efficiencies to support our long-term strategy, including the planned closures of our two remaining factories with 150mm production. The restructuring charges are attributable to severance and benefit costs and are included in Other for segment reporting purposes.</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DBDBDB"/>
            </w:tcBorders>
          </w:tcPr>
          <w:p>
            <w:pPr>
              <w:spacing w:after="0"/>
              <w:rPr>
                <w:sz w:val="17"/>
                <w:szCs w:val="17"/>
                <w:color w:val="auto"/>
              </w:rPr>
            </w:pPr>
          </w:p>
        </w:tc>
        <w:tc>
          <w:tcPr>
            <w:tcW w:w="454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45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45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1,799</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37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i w:val="1"/>
                <w:iCs w:val="1"/>
                <w:color w:val="auto"/>
              </w:rPr>
              <w:t>Other long-term assets</w:t>
            </w:r>
          </w:p>
        </w:tc>
        <w:tc>
          <w:tcPr>
            <w:tcW w:w="45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3700" w:type="dxa"/>
            <w:vAlign w:val="bottom"/>
            <w:vMerge w:val="continue"/>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DBDBDB"/>
            </w:tcBorders>
          </w:tcPr>
          <w:p>
            <w:pPr>
              <w:spacing w:after="0"/>
              <w:rPr>
                <w:sz w:val="17"/>
                <w:szCs w:val="17"/>
                <w:color w:val="auto"/>
              </w:rPr>
            </w:pPr>
          </w:p>
        </w:tc>
        <w:tc>
          <w:tcPr>
            <w:tcW w:w="454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45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1,734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45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2,841</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4540" w:type="dxa"/>
            <w:vAlign w:val="bottom"/>
            <w:tcBorders>
              <w:top w:val="single" w:sz="8" w:color="DBDBDB"/>
              <w:bottom w:val="single" w:sz="8" w:color="DBDBDB"/>
            </w:tcBorders>
            <w:vMerge w:val="restart"/>
          </w:tcPr>
          <w:p>
            <w:pPr>
              <w:jc w:val="right"/>
              <w:ind w:right="243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37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0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third quarters and first nine months of 2025 and 2024. The table below details where these transactions are recorded in our Consolidated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For Three Months Ended</w:t>
            </w:r>
          </w:p>
        </w:tc>
        <w:tc>
          <w:tcPr>
            <w:tcW w:w="24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Nine Months Ended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76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Impact to Related Statement of Income</w:t>
            </w: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vMerge w:val="restart"/>
          </w:tcPr>
          <w:p>
            <w:pPr>
              <w:jc w:val="right"/>
              <w:ind w:right="31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6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vMerge w:val="restart"/>
          </w:tcPr>
          <w:p>
            <w:pPr>
              <w:jc w:val="right"/>
              <w:ind w:right="29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4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980" w:type="dxa"/>
            <w:vAlign w:val="bottom"/>
            <w:tcBorders>
              <w:bottom w:val="single" w:sz="8" w:color="auto"/>
            </w:tcBorders>
            <w:gridSpan w:val="2"/>
          </w:tcPr>
          <w:p>
            <w:pPr>
              <w:jc w:val="right"/>
              <w:ind w:right="1210"/>
              <w:spacing w:after="0"/>
              <w:rPr>
                <w:sz w:val="20"/>
                <w:szCs w:val="20"/>
                <w:color w:val="auto"/>
              </w:rPr>
            </w:pPr>
            <w:r>
              <w:rPr>
                <w:rFonts w:ascii="Arial" w:cs="Arial" w:eastAsia="Arial" w:hAnsi="Arial"/>
                <w:sz w:val="14"/>
                <w:szCs w:val="14"/>
                <w:b w:val="1"/>
                <w:bCs w:val="1"/>
                <w:color w:val="auto"/>
              </w:rPr>
              <w:t>Lines</w:t>
            </w:r>
          </w:p>
        </w:tc>
        <w:tc>
          <w:tcPr>
            <w:tcW w:w="0" w:type="dxa"/>
            <w:vAlign w:val="bottom"/>
          </w:tcPr>
          <w:p>
            <w:pPr>
              <w:spacing w:after="0"/>
              <w:rPr>
                <w:sz w:val="1"/>
                <w:szCs w:val="1"/>
                <w:color w:val="auto"/>
              </w:rPr>
            </w:pPr>
          </w:p>
        </w:tc>
      </w:tr>
      <w:tr>
        <w:trPr>
          <w:trHeight w:val="155"/>
        </w:trPr>
        <w:tc>
          <w:tcPr>
            <w:tcW w:w="340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Net actuarial losses of defined benefit</w:t>
            </w:r>
          </w:p>
        </w:tc>
        <w:tc>
          <w:tcPr>
            <w:tcW w:w="2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6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plans:</w:t>
            </w: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60" w:type="dxa"/>
            <w:vAlign w:val="bottom"/>
            <w:shd w:val="clear" w:color="auto" w:fill="DBDBDB"/>
          </w:tcPr>
          <w:p>
            <w:pPr>
              <w:spacing w:after="0"/>
              <w:rPr>
                <w:sz w:val="21"/>
                <w:szCs w:val="21"/>
                <w:color w:val="auto"/>
              </w:rPr>
            </w:pPr>
          </w:p>
        </w:tc>
        <w:tc>
          <w:tcPr>
            <w:tcW w:w="13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140"/>
              <w:spacing w:after="0" w:line="176" w:lineRule="exact"/>
              <w:rPr>
                <w:sz w:val="20"/>
                <w:szCs w:val="20"/>
                <w:color w:val="auto"/>
              </w:rPr>
            </w:pPr>
            <w:r>
              <w:rPr>
                <w:rFonts w:ascii="Arial" w:cs="Arial" w:eastAsia="Arial" w:hAnsi="Arial"/>
                <w:sz w:val="18"/>
                <w:szCs w:val="18"/>
                <w:color w:val="auto"/>
              </w:rPr>
              <w:t>Recognized net actuarial losses and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5"/>
                <w:szCs w:val="15"/>
                <w:color w:val="auto"/>
              </w:rPr>
            </w:pPr>
          </w:p>
        </w:tc>
        <w:tc>
          <w:tcPr>
            <w:tcW w:w="780" w:type="dxa"/>
            <w:vAlign w:val="bottom"/>
            <w:vMerge w:val="restart"/>
          </w:tcPr>
          <w:p>
            <w:pPr>
              <w:jc w:val="right"/>
              <w:ind w:right="574"/>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2980" w:type="dxa"/>
            <w:vAlign w:val="bottom"/>
            <w:gridSpan w:val="2"/>
            <w:vMerge w:val="restart"/>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243"/>
        </w:trPr>
        <w:tc>
          <w:tcPr>
            <w:tcW w:w="3400" w:type="dxa"/>
            <w:vAlign w:val="bottom"/>
          </w:tcPr>
          <w:p>
            <w:pPr>
              <w:ind w:left="140"/>
              <w:spacing w:after="0"/>
              <w:rPr>
                <w:sz w:val="20"/>
                <w:szCs w:val="20"/>
                <w:color w:val="auto"/>
              </w:rPr>
            </w:pPr>
            <w:r>
              <w:rPr>
                <w:rFonts w:ascii="Arial" w:cs="Arial" w:eastAsia="Arial" w:hAnsi="Arial"/>
                <w:sz w:val="18"/>
                <w:szCs w:val="18"/>
                <w:color w:val="auto"/>
              </w:rPr>
              <w:t>settlement losses (a)</w:t>
            </w:r>
          </w:p>
        </w:tc>
        <w:tc>
          <w:tcPr>
            <w:tcW w:w="22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40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DBDBDB"/>
          </w:tcPr>
          <w:p>
            <w:pPr>
              <w:spacing w:after="0"/>
              <w:rPr>
                <w:sz w:val="15"/>
                <w:szCs w:val="15"/>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5"/>
                <w:szCs w:val="15"/>
                <w:color w:val="auto"/>
              </w:rPr>
            </w:pPr>
          </w:p>
        </w:tc>
        <w:tc>
          <w:tcPr>
            <w:tcW w:w="298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color w:val="auto"/>
              </w:rPr>
              <w:t>Decrease to provision for income</w:t>
            </w:r>
          </w:p>
        </w:tc>
        <w:tc>
          <w:tcPr>
            <w:tcW w:w="0" w:type="dxa"/>
            <w:vAlign w:val="bottom"/>
          </w:tcPr>
          <w:p>
            <w:pPr>
              <w:spacing w:after="0"/>
              <w:rPr>
                <w:sz w:val="1"/>
                <w:szCs w:val="1"/>
                <w:color w:val="auto"/>
              </w:rPr>
            </w:pPr>
          </w:p>
        </w:tc>
      </w:tr>
      <w:tr>
        <w:trPr>
          <w:trHeight w:val="243"/>
        </w:trPr>
        <w:tc>
          <w:tcPr>
            <w:tcW w:w="3400" w:type="dxa"/>
            <w:vAlign w:val="bottom"/>
            <w:vMerge w:val="continue"/>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900" w:type="dxa"/>
            <w:vAlign w:val="bottom"/>
            <w:tcBorders>
              <w:bottom w:val="single" w:sz="8" w:color="auto"/>
            </w:tcBorders>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spacing w:after="0"/>
              <w:rPr>
                <w:sz w:val="21"/>
                <w:szCs w:val="21"/>
                <w:color w:val="auto"/>
              </w:rPr>
            </w:pPr>
          </w:p>
        </w:tc>
        <w:tc>
          <w:tcPr>
            <w:tcW w:w="320" w:type="dxa"/>
            <w:vAlign w:val="bottom"/>
            <w:tcBorders>
              <w:bottom w:val="single" w:sz="8" w:color="auto"/>
            </w:tcBorders>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156"/>
        </w:trPr>
        <w:tc>
          <w:tcPr>
            <w:tcW w:w="3400" w:type="dxa"/>
            <w:vAlign w:val="bottom"/>
          </w:tcPr>
          <w:p>
            <w:pPr>
              <w:ind w:left="140"/>
              <w:spacing w:after="0" w:line="156" w:lineRule="exact"/>
              <w:rPr>
                <w:sz w:val="20"/>
                <w:szCs w:val="20"/>
                <w:color w:val="auto"/>
              </w:rPr>
            </w:pPr>
            <w:r>
              <w:rPr>
                <w:rFonts w:ascii="Arial" w:cs="Arial" w:eastAsia="Arial" w:hAnsi="Arial"/>
                <w:sz w:val="18"/>
                <w:szCs w:val="18"/>
                <w:color w:val="auto"/>
              </w:rPr>
              <w:t>Recognized within net income, net of</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3"/>
                <w:szCs w:val="13"/>
                <w:color w:val="auto"/>
              </w:rPr>
            </w:pPr>
          </w:p>
        </w:tc>
        <w:tc>
          <w:tcPr>
            <w:tcW w:w="780" w:type="dxa"/>
            <w:vAlign w:val="bottom"/>
            <w:vMerge w:val="restart"/>
          </w:tcPr>
          <w:p>
            <w:pPr>
              <w:jc w:val="right"/>
              <w:ind w:right="574"/>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3"/>
                <w:szCs w:val="13"/>
                <w:color w:val="auto"/>
              </w:rPr>
            </w:pPr>
          </w:p>
        </w:tc>
        <w:tc>
          <w:tcPr>
            <w:tcW w:w="2980" w:type="dxa"/>
            <w:vAlign w:val="bottom"/>
            <w:gridSpan w:val="2"/>
            <w:vMerge w:val="restart"/>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21"/>
        </w:trPr>
        <w:tc>
          <w:tcPr>
            <w:tcW w:w="3400" w:type="dxa"/>
            <w:vAlign w:val="bottom"/>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6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line="176" w:lineRule="exact"/>
              <w:rPr>
                <w:sz w:val="20"/>
                <w:szCs w:val="20"/>
                <w:color w:val="auto"/>
              </w:rPr>
            </w:pPr>
            <w:r>
              <w:rPr>
                <w:rFonts w:ascii="Arial" w:cs="Arial" w:eastAsia="Arial" w:hAnsi="Arial"/>
                <w:sz w:val="18"/>
                <w:szCs w:val="18"/>
                <w:color w:val="auto"/>
              </w:rPr>
              <w:t>Prior service cost (credit) of defined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400" w:type="dxa"/>
            <w:vAlign w:val="bottom"/>
          </w:tcPr>
          <w:p>
            <w:pPr>
              <w:ind w:left="20"/>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0" w:type="dxa"/>
            <w:vAlign w:val="bottom"/>
            <w:shd w:val="clear" w:color="auto" w:fill="DBDBDB"/>
          </w:tcPr>
          <w:p>
            <w:pPr>
              <w:ind w:left="140"/>
              <w:spacing w:after="0" w:line="177" w:lineRule="exact"/>
              <w:rPr>
                <w:sz w:val="20"/>
                <w:szCs w:val="20"/>
                <w:color w:val="auto"/>
              </w:rPr>
            </w:pPr>
            <w:r>
              <w:rPr>
                <w:rFonts w:ascii="Arial" w:cs="Arial" w:eastAsia="Arial" w:hAnsi="Arial"/>
                <w:sz w:val="18"/>
                <w:szCs w:val="18"/>
                <w:color w:val="auto"/>
              </w:rPr>
              <w:t>Amortization of prior service cost (credit)</w:t>
            </w:r>
          </w:p>
        </w:tc>
        <w:tc>
          <w:tcPr>
            <w:tcW w:w="220" w:type="dxa"/>
            <w:vAlign w:val="bottom"/>
            <w:vMerge w:val="restart"/>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5"/>
                <w:szCs w:val="15"/>
                <w:color w:val="auto"/>
              </w:rPr>
            </w:pPr>
          </w:p>
        </w:tc>
        <w:tc>
          <w:tcPr>
            <w:tcW w:w="24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DBDBDB"/>
          </w:tcPr>
          <w:p>
            <w:pPr>
              <w:jc w:val="right"/>
              <w:ind w:right="574"/>
              <w:spacing w:after="0"/>
              <w:rPr>
                <w:sz w:val="20"/>
                <w:szCs w:val="20"/>
                <w:color w:val="auto"/>
              </w:rPr>
            </w:pPr>
            <w:r>
              <w:rPr>
                <w:rFonts w:ascii="Arial" w:cs="Arial" w:eastAsia="Arial" w:hAnsi="Arial"/>
                <w:sz w:val="18"/>
                <w:szCs w:val="18"/>
                <w:color w:val="auto"/>
                <w:w w:val="99"/>
              </w:rPr>
              <w:t>$</w:t>
            </w:r>
          </w:p>
        </w:tc>
        <w:tc>
          <w:tcPr>
            <w:tcW w:w="3400" w:type="dxa"/>
            <w:vAlign w:val="bottom"/>
            <w:gridSpan w:val="4"/>
            <w:vMerge w:val="restart"/>
            <w:shd w:val="clear" w:color="auto" w:fill="DBDBDB"/>
          </w:tcPr>
          <w:p>
            <w:pPr>
              <w:jc w:val="right"/>
              <w:ind w:right="570"/>
              <w:spacing w:after="0"/>
              <w:rPr>
                <w:sz w:val="20"/>
                <w:szCs w:val="20"/>
                <w:color w:val="auto"/>
              </w:rPr>
            </w:pPr>
            <w:r>
              <w:rPr>
                <w:rFonts w:ascii="Arial" w:cs="Arial" w:eastAsia="Arial" w:hAnsi="Arial"/>
                <w:sz w:val="18"/>
                <w:szCs w:val="18"/>
                <w:color w:val="auto"/>
              </w:rPr>
              <w:t>1  Decrease (increase) to OI&amp;E</w:t>
            </w:r>
          </w:p>
        </w:tc>
        <w:tc>
          <w:tcPr>
            <w:tcW w:w="0" w:type="dxa"/>
            <w:vAlign w:val="bottom"/>
          </w:tcPr>
          <w:p>
            <w:pPr>
              <w:spacing w:after="0"/>
              <w:rPr>
                <w:sz w:val="1"/>
                <w:szCs w:val="1"/>
                <w:color w:val="auto"/>
              </w:rPr>
            </w:pPr>
          </w:p>
        </w:tc>
      </w:tr>
      <w:tr>
        <w:trPr>
          <w:trHeight w:val="243"/>
        </w:trPr>
        <w:tc>
          <w:tcPr>
            <w:tcW w:w="34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w:t>
            </w:r>
          </w:p>
        </w:tc>
        <w:tc>
          <w:tcPr>
            <w:tcW w:w="220" w:type="dxa"/>
            <w:vAlign w:val="bottom"/>
            <w:vMerge w:val="continue"/>
            <w:shd w:val="clear" w:color="auto" w:fill="DBDBDB"/>
          </w:tcPr>
          <w:p>
            <w:pPr>
              <w:spacing w:after="0"/>
              <w:rPr>
                <w:sz w:val="21"/>
                <w:szCs w:val="21"/>
                <w:color w:val="auto"/>
              </w:rPr>
            </w:pPr>
          </w:p>
        </w:tc>
        <w:tc>
          <w:tcPr>
            <w:tcW w:w="1000" w:type="dxa"/>
            <w:vAlign w:val="bottom"/>
            <w:gridSpan w:val="2"/>
            <w:vMerge w:val="continue"/>
            <w:shd w:val="clear" w:color="auto" w:fill="DBDBDB"/>
          </w:tcPr>
          <w:p>
            <w:pPr>
              <w:spacing w:after="0"/>
              <w:rPr>
                <w:sz w:val="21"/>
                <w:szCs w:val="21"/>
                <w:color w:val="auto"/>
              </w:rPr>
            </w:pPr>
          </w:p>
        </w:tc>
        <w:tc>
          <w:tcPr>
            <w:tcW w:w="260" w:type="dxa"/>
            <w:vAlign w:val="bottom"/>
            <w:vMerge w:val="continue"/>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vMerge w:val="continue"/>
            <w:shd w:val="clear" w:color="auto" w:fill="DBDBDB"/>
          </w:tcPr>
          <w:p>
            <w:pPr>
              <w:spacing w:after="0"/>
              <w:rPr>
                <w:sz w:val="21"/>
                <w:szCs w:val="21"/>
                <w:color w:val="auto"/>
              </w:rPr>
            </w:pPr>
          </w:p>
        </w:tc>
        <w:tc>
          <w:tcPr>
            <w:tcW w:w="980" w:type="dxa"/>
            <w:vAlign w:val="bottom"/>
            <w:gridSpan w:val="2"/>
            <w:vMerge w:val="continue"/>
            <w:shd w:val="clear" w:color="auto" w:fill="DBDBDB"/>
          </w:tcPr>
          <w:p>
            <w:pPr>
              <w:spacing w:after="0"/>
              <w:rPr>
                <w:sz w:val="21"/>
                <w:szCs w:val="21"/>
                <w:color w:val="auto"/>
              </w:rPr>
            </w:pPr>
          </w:p>
        </w:tc>
        <w:tc>
          <w:tcPr>
            <w:tcW w:w="780" w:type="dxa"/>
            <w:vAlign w:val="bottom"/>
            <w:vMerge w:val="continue"/>
            <w:shd w:val="clear" w:color="auto" w:fill="DBDBDB"/>
          </w:tcPr>
          <w:p>
            <w:pPr>
              <w:spacing w:after="0"/>
              <w:rPr>
                <w:sz w:val="21"/>
                <w:szCs w:val="21"/>
                <w:color w:val="auto"/>
              </w:rPr>
            </w:pPr>
          </w:p>
        </w:tc>
        <w:tc>
          <w:tcPr>
            <w:tcW w:w="3400" w:type="dxa"/>
            <w:vAlign w:val="bottom"/>
            <w:gridSpan w:val="4"/>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00" w:type="dxa"/>
            <w:vAlign w:val="bottom"/>
            <w:vMerge w:val="restart"/>
          </w:tcPr>
          <w:p>
            <w:pPr>
              <w:ind w:left="140"/>
              <w:spacing w:after="0"/>
              <w:rPr>
                <w:sz w:val="20"/>
                <w:szCs w:val="20"/>
                <w:color w:val="auto"/>
              </w:rPr>
            </w:pPr>
            <w:r>
              <w:rPr>
                <w:rFonts w:ascii="Arial" w:cs="Arial" w:eastAsia="Arial" w:hAnsi="Arial"/>
                <w:sz w:val="18"/>
                <w:szCs w:val="18"/>
                <w:color w:val="auto"/>
              </w:rPr>
              <w:t>Tax effect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(Decrease) increase to provision for</w:t>
            </w:r>
          </w:p>
        </w:tc>
        <w:tc>
          <w:tcPr>
            <w:tcW w:w="0" w:type="dxa"/>
            <w:vAlign w:val="bottom"/>
          </w:tcPr>
          <w:p>
            <w:pPr>
              <w:spacing w:after="0"/>
              <w:rPr>
                <w:sz w:val="1"/>
                <w:szCs w:val="1"/>
                <w:color w:val="auto"/>
              </w:rPr>
            </w:pPr>
          </w:p>
        </w:tc>
      </w:tr>
      <w:tr>
        <w:trPr>
          <w:trHeight w:val="243"/>
        </w:trPr>
        <w:tc>
          <w:tcPr>
            <w:tcW w:w="3400" w:type="dxa"/>
            <w:vAlign w:val="bottom"/>
            <w:tcBorders>
              <w:bottom w:val="single" w:sz="8" w:color="DBDBDB"/>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DBDBDB"/>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DBDBDB"/>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DBDBDB"/>
            </w:tcBorders>
            <w:vMerge w:val="continue"/>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155"/>
        </w:trPr>
        <w:tc>
          <w:tcPr>
            <w:tcW w:w="3400" w:type="dxa"/>
            <w:vAlign w:val="bottom"/>
            <w:shd w:val="clear" w:color="auto" w:fill="DBDBDB"/>
          </w:tcPr>
          <w:p>
            <w:pPr>
              <w:ind w:left="140"/>
              <w:spacing w:after="0" w:line="156" w:lineRule="exact"/>
              <w:rPr>
                <w:sz w:val="20"/>
                <w:szCs w:val="20"/>
                <w:color w:val="auto"/>
              </w:rPr>
            </w:pPr>
            <w:r>
              <w:rPr>
                <w:rFonts w:ascii="Arial" w:cs="Arial" w:eastAsia="Arial" w:hAnsi="Arial"/>
                <w:sz w:val="18"/>
                <w:szCs w:val="18"/>
                <w:color w:val="auto"/>
              </w:rPr>
              <w:t>Recognized within net income, net of</w:t>
            </w:r>
          </w:p>
        </w:tc>
        <w:tc>
          <w:tcPr>
            <w:tcW w:w="220" w:type="dxa"/>
            <w:vAlign w:val="bottom"/>
            <w:vMerge w:val="restart"/>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3"/>
                <w:szCs w:val="13"/>
                <w:color w:val="auto"/>
              </w:rPr>
            </w:pPr>
          </w:p>
        </w:tc>
        <w:tc>
          <w:tcPr>
            <w:tcW w:w="24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DBDBDB"/>
          </w:tcPr>
          <w:p>
            <w:pPr>
              <w:jc w:val="right"/>
              <w:ind w:right="574"/>
              <w:spacing w:after="0"/>
              <w:rPr>
                <w:sz w:val="20"/>
                <w:szCs w:val="20"/>
                <w:color w:val="auto"/>
              </w:rPr>
            </w:pPr>
            <w:r>
              <w:rPr>
                <w:rFonts w:ascii="Arial" w:cs="Arial" w:eastAsia="Arial" w:hAnsi="Arial"/>
                <w:sz w:val="18"/>
                <w:szCs w:val="18"/>
                <w:color w:val="auto"/>
                <w:w w:val="99"/>
              </w:rPr>
              <w:t>$</w:t>
            </w: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3"/>
                <w:szCs w:val="13"/>
                <w:color w:val="auto"/>
              </w:rPr>
            </w:pPr>
          </w:p>
        </w:tc>
        <w:tc>
          <w:tcPr>
            <w:tcW w:w="2980" w:type="dxa"/>
            <w:vAlign w:val="bottom"/>
            <w:gridSpan w:val="2"/>
            <w:vMerge w:val="restart"/>
            <w:shd w:val="clear" w:color="auto" w:fill="DBDBDB"/>
          </w:tcPr>
          <w:p>
            <w:pPr>
              <w:ind w:left="20"/>
              <w:spacing w:after="0"/>
              <w:rPr>
                <w:sz w:val="20"/>
                <w:szCs w:val="20"/>
                <w:color w:val="auto"/>
              </w:rPr>
            </w:pPr>
            <w:r>
              <w:rPr>
                <w:rFonts w:ascii="Arial" w:cs="Arial" w:eastAsia="Arial" w:hAnsi="Arial"/>
                <w:sz w:val="18"/>
                <w:szCs w:val="18"/>
                <w:color w:val="auto"/>
              </w:rPr>
              <w:t>Decrease (increase) to net income</w:t>
            </w:r>
          </w:p>
        </w:tc>
        <w:tc>
          <w:tcPr>
            <w:tcW w:w="0" w:type="dxa"/>
            <w:vAlign w:val="bottom"/>
          </w:tcPr>
          <w:p>
            <w:pPr>
              <w:spacing w:after="0"/>
              <w:rPr>
                <w:sz w:val="1"/>
                <w:szCs w:val="1"/>
                <w:color w:val="auto"/>
              </w:rPr>
            </w:pPr>
          </w:p>
        </w:tc>
      </w:tr>
      <w:tr>
        <w:trPr>
          <w:trHeight w:val="236"/>
        </w:trPr>
        <w:tc>
          <w:tcPr>
            <w:tcW w:w="34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vMerge w:val="continue"/>
            <w:shd w:val="clear" w:color="auto" w:fill="DBDBDB"/>
          </w:tcPr>
          <w:p>
            <w:pPr>
              <w:spacing w:after="0"/>
              <w:rPr>
                <w:sz w:val="20"/>
                <w:szCs w:val="20"/>
                <w:color w:val="auto"/>
              </w:rPr>
            </w:pPr>
          </w:p>
        </w:tc>
        <w:tc>
          <w:tcPr>
            <w:tcW w:w="1000" w:type="dxa"/>
            <w:vAlign w:val="bottom"/>
            <w:gridSpan w:val="2"/>
            <w:vMerge w:val="continue"/>
            <w:shd w:val="clear" w:color="auto" w:fill="DBDBDB"/>
          </w:tcPr>
          <w:p>
            <w:pPr>
              <w:spacing w:after="0"/>
              <w:rPr>
                <w:sz w:val="20"/>
                <w:szCs w:val="20"/>
                <w:color w:val="auto"/>
              </w:rPr>
            </w:pPr>
          </w:p>
        </w:tc>
        <w:tc>
          <w:tcPr>
            <w:tcW w:w="260" w:type="dxa"/>
            <w:vAlign w:val="bottom"/>
            <w:vMerge w:val="continue"/>
            <w:shd w:val="clear" w:color="auto" w:fill="DBDBDB"/>
          </w:tcPr>
          <w:p>
            <w:pPr>
              <w:spacing w:after="0"/>
              <w:rPr>
                <w:sz w:val="20"/>
                <w:szCs w:val="20"/>
                <w:color w:val="auto"/>
              </w:rPr>
            </w:pPr>
          </w:p>
        </w:tc>
        <w:tc>
          <w:tcPr>
            <w:tcW w:w="86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vMerge w:val="continue"/>
            <w:shd w:val="clear" w:color="auto" w:fill="DBDBDB"/>
          </w:tcPr>
          <w:p>
            <w:pPr>
              <w:spacing w:after="0"/>
              <w:rPr>
                <w:sz w:val="20"/>
                <w:szCs w:val="20"/>
                <w:color w:val="auto"/>
              </w:rPr>
            </w:pPr>
          </w:p>
        </w:tc>
        <w:tc>
          <w:tcPr>
            <w:tcW w:w="980" w:type="dxa"/>
            <w:vAlign w:val="bottom"/>
            <w:gridSpan w:val="2"/>
            <w:vMerge w:val="continue"/>
            <w:shd w:val="clear" w:color="auto" w:fill="DBDBDB"/>
          </w:tcPr>
          <w:p>
            <w:pPr>
              <w:spacing w:after="0"/>
              <w:rPr>
                <w:sz w:val="20"/>
                <w:szCs w:val="20"/>
                <w:color w:val="auto"/>
              </w:rPr>
            </w:pPr>
          </w:p>
        </w:tc>
        <w:tc>
          <w:tcPr>
            <w:tcW w:w="780" w:type="dxa"/>
            <w:vAlign w:val="bottom"/>
            <w:vMerge w:val="continue"/>
            <w:shd w:val="clear" w:color="auto" w:fill="DBDBDB"/>
          </w:tcPr>
          <w:p>
            <w:pPr>
              <w:spacing w:after="0"/>
              <w:rPr>
                <w:sz w:val="20"/>
                <w:szCs w:val="20"/>
                <w:color w:val="auto"/>
              </w:rPr>
            </w:pPr>
          </w:p>
        </w:tc>
        <w:tc>
          <w:tcPr>
            <w:tcW w:w="32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980" w:type="dxa"/>
            <w:vAlign w:val="bottom"/>
            <w:gridSpan w:val="2"/>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(a) Detailed in Note 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rPr>
              <w:t>Effect on shares outstanding and treasury shares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80" w:type="dxa"/>
            <w:vAlign w:val="bottom"/>
            <w:gridSpan w:val="5"/>
          </w:tcPr>
          <w:p>
            <w:pPr>
              <w:spacing w:after="0"/>
              <w:rPr>
                <w:sz w:val="20"/>
                <w:szCs w:val="20"/>
                <w:color w:val="auto"/>
              </w:rPr>
            </w:pPr>
            <w:r>
              <w:rPr>
                <w:rFonts w:ascii="Arial" w:cs="Arial" w:eastAsia="Arial" w:hAnsi="Arial"/>
                <w:sz w:val="18"/>
                <w:szCs w:val="18"/>
                <w:color w:val="auto"/>
              </w:rPr>
              <w:t>The following table reflects the changes in treasury shares: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3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22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BDBDB"/>
            </w:tcBorders>
            <w:shd w:val="clear" w:color="auto" w:fill="DBDBDB"/>
          </w:tcPr>
          <w:p>
            <w:pPr>
              <w:spacing w:after="0"/>
              <w:rPr>
                <w:sz w:val="19"/>
                <w:szCs w:val="19"/>
                <w:color w:val="auto"/>
              </w:rPr>
            </w:pPr>
          </w:p>
        </w:tc>
        <w:tc>
          <w:tcPr>
            <w:tcW w:w="1760" w:type="dxa"/>
            <w:vAlign w:val="bottom"/>
            <w:tcBorders>
              <w:top w:val="single" w:sz="8" w:color="DBDBDB"/>
            </w:tcBorders>
            <w:gridSpan w:val="2"/>
            <w:shd w:val="clear" w:color="auto" w:fill="DBDBDB"/>
          </w:tcPr>
          <w:p>
            <w:pPr>
              <w:spacing w:after="0"/>
              <w:rPr>
                <w:sz w:val="19"/>
                <w:szCs w:val="19"/>
                <w:color w:val="auto"/>
              </w:rPr>
            </w:pP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issued for stock compensation</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30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w:t>
            </w:r>
          </w:p>
        </w:tc>
        <w:tc>
          <w:tcPr>
            <w:tcW w:w="22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780" w:type="dxa"/>
            <w:vAlign w:val="bottom"/>
            <w:tcBorders>
              <w:bottom w:val="single" w:sz="8" w:color="DBDBDB"/>
            </w:tcBorders>
          </w:tcPr>
          <w:p>
            <w:pPr>
              <w:spacing w:after="0"/>
              <w:rPr>
                <w:sz w:val="19"/>
                <w:szCs w:val="19"/>
                <w:color w:val="auto"/>
              </w:rPr>
            </w:pPr>
          </w:p>
        </w:tc>
        <w:tc>
          <w:tcPr>
            <w:tcW w:w="320" w:type="dxa"/>
            <w:vAlign w:val="bottom"/>
            <w:tcBorders>
              <w:bottom w:val="single" w:sz="8" w:color="DBDBDB"/>
            </w:tcBorders>
          </w:tcPr>
          <w:p>
            <w:pPr>
              <w:spacing w:after="0"/>
              <w:rPr>
                <w:sz w:val="19"/>
                <w:szCs w:val="19"/>
                <w:color w:val="auto"/>
              </w:rPr>
            </w:pPr>
          </w:p>
        </w:tc>
        <w:tc>
          <w:tcPr>
            <w:tcW w:w="1760" w:type="dxa"/>
            <w:vAlign w:val="bottom"/>
            <w:tcBorders>
              <w:bottom w:val="single" w:sz="8" w:color="DBDBDB"/>
            </w:tcBorders>
            <w:gridSpan w:val="2"/>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3"/>
        </w:trPr>
        <w:tc>
          <w:tcPr>
            <w:tcW w:w="3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Repurchases</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60" w:type="dxa"/>
            <w:vAlign w:val="bottom"/>
            <w:gridSpan w:val="2"/>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Shares issued for stock compensation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w:t>
            </w:r>
          </w:p>
        </w:tc>
        <w:tc>
          <w:tcPr>
            <w:tcW w:w="22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BDBDB"/>
            </w:tcBorders>
            <w:shd w:val="clear" w:color="auto" w:fill="DBDBDB"/>
          </w:tcPr>
          <w:p>
            <w:pPr>
              <w:spacing w:after="0"/>
              <w:rPr>
                <w:sz w:val="19"/>
                <w:szCs w:val="19"/>
                <w:color w:val="auto"/>
              </w:rPr>
            </w:pPr>
          </w:p>
        </w:tc>
        <w:tc>
          <w:tcPr>
            <w:tcW w:w="1760" w:type="dxa"/>
            <w:vAlign w:val="bottom"/>
            <w:tcBorders>
              <w:top w:val="single" w:sz="8" w:color="DBDBDB"/>
            </w:tcBorders>
            <w:gridSpan w:val="2"/>
            <w:shd w:val="clear" w:color="auto" w:fill="DBDBDB"/>
          </w:tcPr>
          <w:p>
            <w:pPr>
              <w:spacing w:after="0"/>
              <w:rPr>
                <w:sz w:val="19"/>
                <w:szCs w:val="19"/>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Repurchases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2"/>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34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Shares issued for stock compensation</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3080" w:type="dxa"/>
            <w:vAlign w:val="bottom"/>
            <w:gridSpan w:val="3"/>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2"/>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20" w:hanging="328"/>
        <w:spacing w:after="0" w:line="287"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jc w:val="both"/>
        <w:ind w:left="1300" w:right="420" w:hanging="320"/>
        <w:spacing w:after="0" w:line="318" w:lineRule="auto"/>
        <w:tabs>
          <w:tab w:leader="none" w:pos="129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21" w:lineRule="exact"/>
        <w:rPr>
          <w:rFonts w:ascii="Arial" w:cs="Arial" w:eastAsia="Arial" w:hAnsi="Arial"/>
          <w:sz w:val="17"/>
          <w:szCs w:val="17"/>
          <w:color w:val="auto"/>
        </w:rPr>
      </w:pPr>
    </w:p>
    <w:p>
      <w:pPr>
        <w:ind w:left="1300" w:right="540" w:hanging="320"/>
        <w:spacing w:after="0" w:line="287"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200" w:hanging="328"/>
        <w:spacing w:after="0" w:line="287"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invest in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business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end markets for our products are industrial, automotive, personal electronics, enterprise systems and communications equipment. See our 2024 Form 10-K for more information, where we also report calculators and other.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invest to make manufacturing and technology a core competitive advantage. The strategic decision to own our manufacturing, process and packaging technology provides us with tangible benefits of lower manufacturing costs and greater control of our supply chain and provides our customers with geopolitically dependable capacity. We own and operate both wafer fabrication and assembly/test facilities in North America, Asia, Japan and Europe. We have focused on creating a competitive structural cost advantage by investing in our 300mm wafer production, which describes the diameter of the wafer on which our chips are produced, and costs about 40% less than a chip built on a 200mm wafer. In addition, we selectively use capacity of outside suppliers, commonly known as foundries and subcontractors.</w:t>
      </w:r>
    </w:p>
    <w:p>
      <w:pPr>
        <w:spacing w:after="0" w:line="18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continue to invest to strengthen our competitive advantage in manufacturing and technology as part of our long-term capacity plan. We are now mostly through a six-year elevated capital expenditures cycle that, when completed, will uniquely position TI to deliver dependable, low-cost 300mm capacity, scalability of capital expenditures, including capacity modularity, and free cash flow per share growth across a range of market conditions.</w:t>
      </w:r>
    </w:p>
    <w:p>
      <w:pPr>
        <w:spacing w:after="0" w:line="17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With our planned capacity expansions to support demand over time, we expect our internal sourcing to continue to increase. As our Lehi, Utah, manufacturing facility is in the early ramping stages, Embedded Processing is disproportionately impacted by costs associated with the site’s capacity expansion. We expect to continue to maintain sufficient internal manufacturing capacity to meet the majority of our production needs and to obtain manufacturing equipment to support new technology developments and revenue growth.</w:t>
      </w:r>
    </w:p>
    <w:p>
      <w:pPr>
        <w:spacing w:after="0" w:line="17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2020, we announced a multi-year plan to close our two remaining factories with 150mm production, which are more than 50 years old and located in Sherman and Dallas, Texas. Production is transitioning from these sites to our more advanced and cost-effective 300mm wafer fabrication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objectives for inventory are to maintain high levels of customer service, maintain dependable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 We adjust factory loadings as needed to execute on this inventory strategy.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ind w:left="1300" w:right="480" w:hanging="320"/>
        <w:spacing w:after="0" w:line="262"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third quarter revenue was $4.74 billion, net income was $1.36 billion and earnings per share (EPS) were $1.48.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7% sequentially and 14% from the same quarter a year ago with growth across all end markets.</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cash flow from operations of $6.9 billion for the trailing 12 months again underscored the strength of our business model, the quality of our product portfolio and the benefit of 300mm production. Free cash flow for the same period was $2.4 billion.</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Over the past 12 months we invested $3.9 billion in R&amp;D and SG&amp;A, invested $4.8 billion in capital expenditures and returned $6.6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factors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believe trade dynamics and geopolitics are disrupting and reshaping global supply chains and affecting customer order behavior. Our global manufacturing capabilities enable us to support our customers’ needs. The overall semiconductor market recovery is continuing, though at a slower pace than prior upturns, likely related to broader macroeconomic dynamics and overall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legislative update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4, 2025, the U.S. government enacted the One Big Beautiful Bill Act (OBBBA). The OBBBA provides changes to U.S. federal tax law, including expensing of U.S. research expenditures and eligible capital expenditures, increasing the U.S. CHIPS and Science Act (CHIPS Act) investment tax credit (ITC) and changing other tax provisions. The effect of the new law results in a higher effective tax rate in the third quarter and full year 2025. For 2026 and beyond, we expect the effective tax rate to be lower than it would have been under prior tax law. Additionally, we expect tax-related cash payments to be lower for the next several years as a result of the changes.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third quarter 2025 compared with third quarter 2024</w:t>
      </w:r>
    </w:p>
    <w:p>
      <w:pPr>
        <w:spacing w:after="0" w:line="22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Revenue of $ 4.74 billion increased $591 million, or 14%, due to higher revenue from increased demand in our Analog segment and, to a lesser extent, in our Embedded Processing segment, which were both impacted by the macroeconomic factors discussed above.</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Gross profit of $2.72 billion was up $249 million, or 10%, due to higher revenue, partially offset by higher manufacturing costs associated with our planned capacity expansions. As a percentage of revenue, gross profit decreased to 57.4% from 59.6%.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$975 million compared with $920 million.</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Restructuring charges/other was $85 million related to efforts to drive operational efficiencies to support our long-term strategy, including the planned closures of our two remaining factories with 150mm production.</w:t>
      </w:r>
    </w:p>
    <w:p>
      <w:pPr>
        <w:spacing w:after="0" w:line="15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Operating profit was $1.66 billion, or 35.1% of revenue, compared with $1.55 billion, or 37.4% of revenue. This change was primarily due to higher revenue, partially offset by higher manufacturing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OI&amp;E was $62 million of income compared with $131 million of income. This decrease was due to lower interest income.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Interest and debt expense of $141 million increased $10 million. See Note 6 to the financial statements.</w:t>
      </w:r>
    </w:p>
    <w:p>
      <w:pPr>
        <w:spacing w:after="0" w:line="22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Our provision for income taxes was $220 million compared with $192 million. This increase was primarily due to changes in the effect of U.S. tax benefits, including the effect of OBBBA, lower discrete tax benefits and higher income before income taxes. Our effective tax rate, which includes discrete tax items, was 14% compared with 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$1.36 billion in both periods. EPS was $1.48 compared with $1.47.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2025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2025</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3,729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3,223</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1,486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39.8 %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40.8 %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Analog revenue increased in both product lines, led by Signal Chain, due to higher demand, which was impacted by the macroeconomic factors discussed above. Operating profit increased primarily due to higher revenue, partially offset by higher manufacturing costs and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2025</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709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15.2 %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16.7 %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due to higher demand, which was impacted by the macroeconomic factors discussed above.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about even due to higher manufacturing costs and operating expenses, offset by higher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products, calculators and custom ASIC products)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2025</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3"/>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22.7 %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46.9 %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$29 million, and operating profit decreased $60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first nine months of 2025 compared with first nine months of 2024</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Revenue of $ 13.26 billion increased $1.63 billion, or 14%, due to higher revenue from increased demand in our Analog segment and, to a lesser extent, in our Embedded Processing segment, which were both impacted by the macroeconomic factors discussed above.</w:t>
      </w:r>
    </w:p>
    <w:p>
      <w:pPr>
        <w:spacing w:after="0" w:line="1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Gross profit of $7.61 billion was up $831 million, or 12%, due to higher revenue. Our gross profit was also impacted by higher manufacturing costs associated with our planned capacity expansions, partially offset by reduced costs related to increased factory loadings. As a percentage of revenue, gross profit decreased to 57.4% from 58.3%.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$2.98 billion compared with $2.82 billion.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jc w:val="both"/>
        <w:ind w:right="60"/>
        <w:spacing w:after="0" w:line="268" w:lineRule="auto"/>
        <w:rPr>
          <w:sz w:val="20"/>
          <w:szCs w:val="20"/>
          <w:color w:val="auto"/>
        </w:rPr>
      </w:pPr>
      <w:r>
        <w:rPr>
          <w:rFonts w:ascii="Arial" w:cs="Arial" w:eastAsia="Arial" w:hAnsi="Arial"/>
          <w:sz w:val="18"/>
          <w:szCs w:val="18"/>
          <w:color w:val="auto"/>
        </w:rPr>
        <w:t>Restructuring charges/other was $85 million related to efforts to drive operational efficiencies to support our long-term strategy, including the planned closures of our two remaining factories with 150mm production, compared with a credit of $124 million primarily due to a gain on the sale of a property during 2024.</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Operating profit was $4.55 billion, or 34.3% of revenue, compared with $4.09 billion, or 35.1% of revenue. This change was primarily due to higher revenue and associated gross profit, partially offset by higher operating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OI&amp;E was $190 million of income compared with $384 million of income. This decrease was due to lower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$402 million increased $24 million.</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provision for income taxes was $500 million in both periods. This includes an increase in taxes from higher income before income taxes and changes in the effect of U.S. tax benefits, including the effect of OBBBA, offset by higher discrete tax benefits of $41 million, primarily related to our non-U.S. operations. Our effective tax rate, which includes discrete tax items, was 12% in both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$3.84 billion compared with $3.59 billion. EPS was $4.18 compared with $3.89.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2025</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10,391</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8,987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b w:val="1"/>
                <w:bCs w:val="1"/>
                <w:color w:val="auto"/>
              </w:rPr>
              <w:t>4,017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38.7 %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37.5 %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Analog revenue increased in both product lines, led by Power, due to higher demand, which was impacted by the macroeconomic factors discussed above. Operating profit increased primarily due to higher revenue and associated gross profit, partially offset by higher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2025</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2,035</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1,920</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11.4 %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due to higher demand, which was impacted by the macroeconomic factors discussed above.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decreased primarily due to higher manufacturing costs and operating expenses, partially offset by higher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2025</w:t>
            </w: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833</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36.0 %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58.2 %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$106 million, and operating profit decreased $123 million.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At the end of the third quarter of 2025, total cash (cash and cash equivalents plus short-term investments) was $5.19 billion, a decrease of $2.39 billion from the end of 2024.</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Accounts receivable were $2.06 billion, an increase of $343 million compared with the end of 2024. Days sales outstanding were 39 for both the third quarter of 2025 and at the end of 2024.</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Inventory was $4.83 billion, an increase of $302 million from the end of 2024. Days of inventory for the third quarter of 2025 were 215 compared with 241 at the end of 2024, which reflects the continued execution of our inventory strategy. As our current inventory levels align with our objectives, we expect to moderate factory loadings accordingly.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access to debt markets. We also have a variable-rate, revolving credit facility. As of September 30, 2025, our credit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undrawn, and we had no commercial paper outstanding. Cash flows from operating activities for the first nine months of 2025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$4.90 billion, an increase of $579 million from the year-ago period primarily due to higher net income and non-cash items, partially offset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higher cash used for working capital. Cash flows from operating activities for the first nine months of 2025 and 2024 includes cash benefits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$246 million and $532 million, respectively, from the CHIPS Act ITC used to reduce income taxes payable.</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Investing activities for the first nine months of 2025 used $763 million compared with $3.82 billion in the year-ago period. Capital expenditures were $ 3.63 billion in both periods and were primarily for semiconductor manufacturing equipment and facilities. For the first nine months of 2025, we received proceeds of $335 million from CHIPS Act incentives, including $75 million in direct funding. Short-term investments provided cash of $2.55 billion compared with $346 million of cash used in the year-ago period.</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now mostly through a six-year elevated capital expenditures cycle, and consistent with our capital management strategy, we are currently evaluating our capital expenditure levels to determine if they will remain at elevated levels in 2026 and beyond, dependent on revenue and growth expectations. We expect to continue benefiting from the CHIPS Act, including the 25% ITC on qualifying manufacturing investments that increases to 35% for assets placed in service after December 31, 2025, and direct funding of up to $1.6 billion for our three large-scale 300mm wafer fabs located in Sherman, Texas, and Lehi, Utah.</w:t>
      </w:r>
    </w:p>
    <w:p>
      <w:pPr>
        <w:spacing w:after="0" w:line="17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September 2025, we announced we would increase our quarterly cash dividend by 4% to $1.42 per share, marking 22 consecutive years of dividend increases.</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Financing activities for the first nine months of 2025 used $4.03 billion compared with $879 million in the year-ago period. We received net proceeds of $1.20 billion from the issuance of fixed-rate, long-term debt and retired maturing debt of $750 million. In the year-ago period, we received net proceeds of $2.98 billion from the issuance of fixed-rate, long-term debt and retired maturing debt of $300 million. Dividends paid were $ 3.71 billion compared with $3.56 billion in the year-ago period, reflecting an increased dividend rate. We used $1.07 billion to repurchase 6.1 million shares of our common stock compared with $392 million to repurchase 2.0 million shares in the year-ago period. Employee exercises of stock options provided cash proceeds of $358 million compared with $430 million in the year-ago period.</w:t>
      </w:r>
    </w:p>
    <w:p>
      <w:pPr>
        <w:spacing w:after="0" w:line="18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had $3.31 billion of cash and cash equivalents and $1.88 billion of short-term investments as of September 30, 2025. We believe we have the necessary financial resources and operating plans to fund our working capital needs, capital expenditures, dividend and debt-related payments, and other business requirements for at least the next 12 months.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is calculated as cash flows from operating activities (also referred to as cash flow from operations) less capital expenditures, plus proceeds from CHIPS Act incentives.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6,897</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6,244</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b w:val="1"/>
                <w:bCs w:val="1"/>
                <w:color w:val="auto"/>
              </w:rPr>
              <w:t>(4,817)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CHIPS Act incentives</w:t>
            </w:r>
          </w:p>
        </w:tc>
        <w:tc>
          <w:tcPr>
            <w:tcW w:w="3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335</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2,415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1,468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65 %</w:t>
            </w:r>
          </w:p>
        </w:tc>
      </w:tr>
      <w:tr>
        <w:trPr>
          <w:trHeight w:val="20"/>
        </w:trPr>
        <w:tc>
          <w:tcPr>
            <w:tcW w:w="70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r>
      <w:tr>
        <w:trPr>
          <w:trHeight w:val="183"/>
        </w:trPr>
        <w:tc>
          <w:tcPr>
            <w:tcW w:w="70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17,266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15,711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70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r>
      <w:tr>
        <w:trPr>
          <w:trHeight w:val="183"/>
        </w:trPr>
        <w:tc>
          <w:tcPr>
            <w:tcW w:w="70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39.9 %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14.0 %</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ind w:left="180" w:right="20" w:hanging="172"/>
        <w:spacing w:after="0" w:line="287" w:lineRule="auto"/>
        <w:tabs>
          <w:tab w:leader="none" w:pos="1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cash benefits of $302 million and $532 million from the CHIPS Act ITC used to reduce income taxes payable for the twelve months ended September 30, 2025 and 2024,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legal proceedings can be found in Note 8 to the financial statements.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SEC regulation, we have elected to use a disclosure threshold of $1 million in monetary sanctions for environmental proceedings involving a governmental authority.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2024,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36"/>
        </w:trPr>
        <w:tc>
          <w:tcPr>
            <w:tcW w:w="4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00" w:type="dxa"/>
            <w:vAlign w:val="bottom"/>
          </w:tcPr>
          <w:p>
            <w:pPr>
              <w:spacing w:after="0"/>
              <w:rPr>
                <w:sz w:val="3"/>
                <w:szCs w:val="3"/>
                <w:color w:val="auto"/>
              </w:rPr>
            </w:pPr>
          </w:p>
        </w:tc>
        <w:tc>
          <w:tcPr>
            <w:tcW w:w="1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4260" w:type="dxa"/>
            <w:vAlign w:val="bottom"/>
            <w:gridSpan w:val="2"/>
            <w:vMerge w:val="continue"/>
          </w:tcPr>
          <w:p>
            <w:pPr>
              <w:spacing w:after="0"/>
              <w:rPr>
                <w:sz w:val="16"/>
                <w:szCs w:val="16"/>
                <w:color w:val="auto"/>
              </w:rPr>
            </w:pPr>
          </w:p>
        </w:tc>
        <w:tc>
          <w:tcPr>
            <w:tcW w:w="1700" w:type="dxa"/>
            <w:vAlign w:val="bottom"/>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 (a)</w:t>
            </w:r>
          </w:p>
        </w:tc>
        <w:tc>
          <w:tcPr>
            <w:tcW w:w="10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Programs (a)</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July 1 - 31, 2025</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34,171</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187.28</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34,171</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19.31</w:t>
            </w:r>
          </w:p>
        </w:tc>
        <w:tc>
          <w:tcPr>
            <w:tcW w:w="108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August 1 - 31, 2025</w:t>
            </w:r>
          </w:p>
        </w:tc>
        <w:tc>
          <w:tcPr>
            <w:tcW w:w="1700" w:type="dxa"/>
            <w:vAlign w:val="bottom"/>
          </w:tcPr>
          <w:p>
            <w:pPr>
              <w:jc w:val="right"/>
              <w:spacing w:after="0"/>
              <w:rPr>
                <w:sz w:val="20"/>
                <w:szCs w:val="20"/>
                <w:color w:val="auto"/>
              </w:rPr>
            </w:pPr>
            <w:r>
              <w:rPr>
                <w:rFonts w:ascii="Arial" w:cs="Arial" w:eastAsia="Arial" w:hAnsi="Arial"/>
                <w:sz w:val="18"/>
                <w:szCs w:val="18"/>
                <w:color w:val="auto"/>
              </w:rPr>
              <w:t>191,418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189.84</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191,418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19.27</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September 1 - 30, 2025</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433,795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181.71</w:t>
            </w:r>
          </w:p>
        </w:tc>
        <w:tc>
          <w:tcPr>
            <w:tcW w:w="100" w:type="dxa"/>
            <w:vAlign w:val="bottom"/>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433,795</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19.19</w:t>
            </w:r>
          </w:p>
        </w:tc>
        <w:tc>
          <w:tcPr>
            <w:tcW w:w="1080" w:type="dxa"/>
            <w:vAlign w:val="bottom"/>
            <w:shd w:val="clear" w:color="auto" w:fill="DBDBDB"/>
          </w:tcPr>
          <w:p>
            <w:pPr>
              <w:ind w:left="40"/>
              <w:spacing w:after="0"/>
              <w:rPr>
                <w:sz w:val="20"/>
                <w:szCs w:val="20"/>
                <w:color w:val="auto"/>
              </w:rPr>
            </w:pPr>
            <w:r>
              <w:rPr>
                <w:rFonts w:ascii="Arial" w:cs="Arial" w:eastAsia="Arial" w:hAnsi="Arial"/>
                <w:sz w:val="18"/>
                <w:szCs w:val="18"/>
                <w:color w:val="auto"/>
              </w:rPr>
              <w:t>billion (b)</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659,384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40" w:hanging="332"/>
        <w:spacing w:after="0" w:line="318" w:lineRule="auto"/>
        <w:tabs>
          <w:tab w:leader="none" w:pos="33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156" w:lineRule="exact"/>
        <w:rPr>
          <w:rFonts w:ascii="Arial" w:cs="Arial" w:eastAsia="Arial" w:hAnsi="Arial"/>
          <w:sz w:val="17"/>
          <w:szCs w:val="17"/>
          <w:color w:val="auto"/>
        </w:rPr>
      </w:pPr>
    </w:p>
    <w:p>
      <w:pPr>
        <w:ind w:left="340" w:right="400" w:hanging="332"/>
        <w:spacing w:after="0" w:line="287"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September 30, 2025,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6" w:name="page27"/>
    <w:bookmarkEnd w:id="26"/>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6"/>
        </w:trPr>
        <w:tc>
          <w:tcPr>
            <w:tcW w:w="1920" w:type="dxa"/>
            <w:vAlign w:val="bottom"/>
          </w:tcPr>
          <w:p>
            <w:pPr>
              <w:jc w:val="center"/>
              <w:ind w:right="13"/>
              <w:spacing w:after="0"/>
              <w:rPr>
                <w:sz w:val="20"/>
                <w:szCs w:val="20"/>
                <w:color w:val="auto"/>
              </w:rPr>
            </w:pPr>
            <w:r>
              <w:rPr>
                <w:rFonts w:ascii="Arial" w:cs="Arial" w:eastAsia="Arial" w:hAnsi="Arial"/>
                <w:sz w:val="14"/>
                <w:szCs w:val="14"/>
                <w:b w:val="1"/>
                <w:bCs w:val="1"/>
                <w:color w:val="auto"/>
              </w:rPr>
              <w:t>Designation of Exhibits in</w:t>
            </w:r>
          </w:p>
        </w:tc>
        <w:tc>
          <w:tcPr>
            <w:tcW w:w="1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20" w:type="dxa"/>
            <w:vAlign w:val="bottom"/>
            <w:gridSpan w:val="16"/>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9320" w:type="dxa"/>
            <w:vAlign w:val="bottom"/>
            <w:gridSpan w:val="16"/>
            <w:shd w:val="clear" w:color="auto" w:fill="DBDBDB"/>
          </w:tcPr>
          <w:p>
            <w:pPr>
              <w:spacing w:after="0"/>
              <w:rPr>
                <w:rFonts w:ascii="Arial" w:cs="Arial" w:eastAsia="Arial" w:hAnsi="Arial"/>
                <w:sz w:val="18"/>
                <w:szCs w:val="18"/>
                <w:color w:val="0000FF"/>
              </w:rPr>
            </w:pPr>
            <w:hyperlink r:id="rId46">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8220" w:type="dxa"/>
            <w:vAlign w:val="bottom"/>
            <w:tcBorders>
              <w:top w:val="single" w:sz="8" w:color="0000FF"/>
            </w:tcBorders>
            <w:gridSpan w:val="10"/>
            <w:vMerge w:val="restart"/>
            <w:shd w:val="clear" w:color="auto" w:fill="DBDBDB"/>
          </w:tcPr>
          <w:p>
            <w:pPr>
              <w:spacing w:after="0" w:line="196"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5"/>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20" w:type="dxa"/>
            <w:vAlign w:val="bottom"/>
            <w:tcBorders>
              <w:bottom w:val="single" w:sz="8" w:color="DBDBDB"/>
            </w:tcBorders>
            <w:shd w:val="clear" w:color="auto" w:fill="DBDBDB"/>
          </w:tcPr>
          <w:p>
            <w:pPr>
              <w:spacing w:after="0"/>
              <w:rPr>
                <w:sz w:val="9"/>
                <w:szCs w:val="9"/>
                <w:color w:val="auto"/>
              </w:rPr>
            </w:pPr>
          </w:p>
        </w:tc>
        <w:tc>
          <w:tcPr>
            <w:tcW w:w="8220" w:type="dxa"/>
            <w:vAlign w:val="bottom"/>
            <w:tcBorders>
              <w:bottom w:val="single" w:sz="8" w:color="0000FF"/>
            </w:tcBorders>
            <w:gridSpan w:val="10"/>
            <w:vMerge w:val="continue"/>
            <w:shd w:val="clear" w:color="auto" w:fill="DBDBDB"/>
          </w:tcPr>
          <w:p>
            <w:pPr>
              <w:spacing w:after="0"/>
              <w:rPr>
                <w:sz w:val="9"/>
                <w:szCs w:val="9"/>
                <w:color w:val="auto"/>
              </w:rPr>
            </w:pPr>
          </w:p>
        </w:tc>
        <w:tc>
          <w:tcPr>
            <w:tcW w:w="1000" w:type="dxa"/>
            <w:vAlign w:val="bottom"/>
            <w:tcBorders>
              <w:bottom w:val="single" w:sz="8" w:color="DBDBDB"/>
            </w:tcBorders>
            <w:gridSpan w:val="5"/>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8960" w:type="dxa"/>
            <w:vAlign w:val="bottom"/>
            <w:tcBorders>
              <w:bottom w:val="single" w:sz="8" w:color="0000FF"/>
            </w:tcBorders>
            <w:gridSpan w:val="13"/>
          </w:tcPr>
          <w:p>
            <w:pPr>
              <w:spacing w:after="0" w:line="20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20" w:type="dxa"/>
            <w:vAlign w:val="bottom"/>
            <w:vMerge w:val="continue"/>
          </w:tcPr>
          <w:p>
            <w:pPr>
              <w:spacing w:after="0"/>
              <w:rPr>
                <w:sz w:val="11"/>
                <w:szCs w:val="11"/>
                <w:color w:val="auto"/>
              </w:rPr>
            </w:pPr>
          </w:p>
        </w:tc>
        <w:tc>
          <w:tcPr>
            <w:tcW w:w="9320" w:type="dxa"/>
            <w:vAlign w:val="bottom"/>
            <w:gridSpan w:val="16"/>
            <w:vMerge w:val="restart"/>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3"/>
        </w:trPr>
        <w:tc>
          <w:tcPr>
            <w:tcW w:w="1920" w:type="dxa"/>
            <w:vAlign w:val="bottom"/>
          </w:tcPr>
          <w:p>
            <w:pPr>
              <w:spacing w:after="0"/>
              <w:rPr>
                <w:sz w:val="5"/>
                <w:szCs w:val="5"/>
                <w:color w:val="auto"/>
              </w:rPr>
            </w:pPr>
          </w:p>
        </w:tc>
        <w:tc>
          <w:tcPr>
            <w:tcW w:w="93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31(a)</w:t>
            </w:r>
          </w:p>
        </w:tc>
        <w:tc>
          <w:tcPr>
            <w:tcW w:w="836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Executive Officer of Periodic Report Pursuant to Rule 13a-14(a) or Rule 15d-14(a).†</w:t>
            </w:r>
          </w:p>
        </w:tc>
        <w:tc>
          <w:tcPr>
            <w:tcW w:w="960" w:type="dxa"/>
            <w:vAlign w:val="bottom"/>
            <w:tcBorders>
              <w:bottom w:val="single" w:sz="8" w:color="DBDBDB"/>
            </w:tcBorders>
            <w:gridSpan w:val="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31(b)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of Chief Financial Officer of Periodic Report Pursuant to Rule 13a-14(a) or Rule 15d-14(a).†</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32(a)</w:t>
            </w:r>
          </w:p>
        </w:tc>
        <w:tc>
          <w:tcPr>
            <w:tcW w:w="762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Executive Officer of Periodic Report Pursuant to 18 U.S.C. Section 1350.†</w:t>
            </w:r>
          </w:p>
        </w:tc>
        <w:tc>
          <w:tcPr>
            <w:tcW w:w="1700" w:type="dxa"/>
            <w:vAlign w:val="bottom"/>
            <w:tcBorders>
              <w:bottom w:val="single" w:sz="8" w:color="DBDBDB"/>
            </w:tcBorders>
            <w:gridSpan w:val="7"/>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32(b)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by Chief Financial Officer of Periodic Report Pursuant to 18 U.S.C. Section 1350.†</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shd w:val="clear" w:color="auto" w:fill="DBDBDB"/>
          </w:tcPr>
          <w:p>
            <w:pPr>
              <w:jc w:val="center"/>
              <w:ind w:right="13"/>
              <w:spacing w:after="0"/>
              <w:rPr>
                <w:sz w:val="20"/>
                <w:szCs w:val="20"/>
                <w:color w:val="auto"/>
              </w:rPr>
            </w:pPr>
            <w:r>
              <w:rPr>
                <w:rFonts w:ascii="Arial" w:cs="Arial" w:eastAsia="Arial" w:hAnsi="Arial"/>
                <w:sz w:val="18"/>
                <w:szCs w:val="18"/>
                <w:color w:val="auto"/>
                <w:w w:val="99"/>
              </w:rPr>
              <w:t>101.ins</w:t>
            </w:r>
          </w:p>
        </w:tc>
        <w:tc>
          <w:tcPr>
            <w:tcW w:w="9320" w:type="dxa"/>
            <w:vAlign w:val="bottom"/>
            <w:gridSpan w:val="16"/>
            <w:shd w:val="clear" w:color="auto" w:fill="DBDBDB"/>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9060" w:type="dxa"/>
            <w:vAlign w:val="bottom"/>
            <w:tcBorders>
              <w:top w:val="single" w:sz="8" w:color="auto"/>
            </w:tcBorders>
            <w:gridSpan w:val="14"/>
            <w:vMerge w:val="restart"/>
            <w:shd w:val="clear" w:color="auto" w:fill="DBDBDB"/>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tcBorders>
              <w:top w:val="single" w:sz="8" w:color="DBDBDB"/>
            </w:tcBorders>
            <w:gridSpan w:val="2"/>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920" w:type="dxa"/>
            <w:vAlign w:val="bottom"/>
            <w:shd w:val="clear" w:color="auto" w:fill="DBDBDB"/>
          </w:tcPr>
          <w:p>
            <w:pPr>
              <w:spacing w:after="0"/>
              <w:rPr>
                <w:sz w:val="5"/>
                <w:szCs w:val="5"/>
                <w:color w:val="auto"/>
              </w:rPr>
            </w:pPr>
          </w:p>
        </w:tc>
        <w:tc>
          <w:tcPr>
            <w:tcW w:w="9060" w:type="dxa"/>
            <w:vAlign w:val="bottom"/>
            <w:gridSpan w:val="14"/>
            <w:vMerge w:val="continue"/>
            <w:shd w:val="clear" w:color="auto" w:fill="DBDBDB"/>
          </w:tcPr>
          <w:p>
            <w:pPr>
              <w:spacing w:after="0"/>
              <w:rPr>
                <w:sz w:val="5"/>
                <w:szCs w:val="5"/>
                <w:color w:val="auto"/>
              </w:rPr>
            </w:pPr>
          </w:p>
        </w:tc>
        <w:tc>
          <w:tcPr>
            <w:tcW w:w="260" w:type="dxa"/>
            <w:vAlign w:val="bottom"/>
            <w:gridSpan w:val="2"/>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204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101.sch</w:t>
            </w:r>
          </w:p>
        </w:tc>
        <w:tc>
          <w:tcPr>
            <w:tcW w:w="3920" w:type="dxa"/>
            <w:vAlign w:val="bottom"/>
            <w:tcBorders>
              <w:bottom w:val="single" w:sz="8" w:color="auto"/>
            </w:tcBorders>
            <w:gridSpan w:val="2"/>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Schema Document.†</w:t>
            </w:r>
          </w:p>
        </w:tc>
        <w:tc>
          <w:tcPr>
            <w:tcW w:w="5400" w:type="dxa"/>
            <w:vAlign w:val="bottom"/>
            <w:tcBorders>
              <w:bottom w:val="single" w:sz="8" w:color="DBDBDB"/>
            </w:tcBorders>
            <w:gridSpan w:val="1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101.cal</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101.lab</w:t>
            </w:r>
          </w:p>
        </w:tc>
        <w:tc>
          <w:tcPr>
            <w:tcW w:w="4480" w:type="dxa"/>
            <w:vAlign w:val="bottom"/>
            <w:tcBorders>
              <w:bottom w:val="single" w:sz="8" w:color="auto"/>
            </w:tcBorders>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Label Linkbase Document.†</w:t>
            </w:r>
          </w:p>
        </w:tc>
        <w:tc>
          <w:tcPr>
            <w:tcW w:w="4840" w:type="dxa"/>
            <w:vAlign w:val="bottom"/>
            <w:tcBorders>
              <w:bottom w:val="single" w:sz="8" w:color="DBDBDB"/>
            </w:tcBorders>
            <w:gridSpan w:val="12"/>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rPr>
              <w:t>101.pre</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1920" w:hanging="1158"/>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6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6" w:right="51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2025</w:t>
      </w:r>
    </w:p>
    <w:p>
      <w:pPr>
        <w:sectPr>
          <w:pgSz w:w="11900" w:h="16838" w:orient="portrait"/>
          <w:cols w:equalWidth="0" w:num="1">
            <w:col w:w="11200"/>
          </w:cols>
          <w:pgMar w:left="320" w:top="890"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12"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2025</w:t>
      </w:r>
    </w:p>
    <w:p>
      <w:pPr>
        <w:spacing w:after="0" w:line="26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19"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2025</w:t>
      </w:r>
    </w:p>
    <w:p>
      <w:pPr>
        <w:spacing w:after="0" w:line="26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Rafael R. Lizardi</w:t>
      </w:r>
    </w:p>
    <w:p>
      <w:pPr>
        <w:jc w:val="center"/>
        <w:ind w:left="8120"/>
        <w:spacing w:after="0" w:line="219"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Haviv Ilan, President and Chief Executive Officer of Texas Instruments Incorporated (the “Company”), hereby certifies that, to his knowledge:</w:t>
      </w:r>
    </w:p>
    <w:p>
      <w:pPr>
        <w:spacing w:after="0" w:line="207" w:lineRule="exact"/>
        <w:rPr>
          <w:sz w:val="20"/>
          <w:szCs w:val="20"/>
          <w:color w:val="auto"/>
        </w:rPr>
      </w:pPr>
    </w:p>
    <w:p>
      <w:pPr>
        <w:jc w:val="both"/>
        <w:ind w:right="480" w:firstLine="494"/>
        <w:spacing w:after="0" w:line="268" w:lineRule="auto"/>
        <w:tabs>
          <w:tab w:leader="none" w:pos="6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2025,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pacing w:after="0" w:line="30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03"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5"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71" w:lineRule="exact"/>
        <w:rPr>
          <w:sz w:val="20"/>
          <w:szCs w:val="20"/>
          <w:color w:val="auto"/>
        </w:rPr>
      </w:pPr>
    </w:p>
    <w:p>
      <w:pPr>
        <w:jc w:val="both"/>
        <w:ind w:right="480" w:firstLine="494"/>
        <w:spacing w:after="0" w:line="268" w:lineRule="auto"/>
        <w:tabs>
          <w:tab w:leader="none" w:pos="6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2025,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pacing w:after="0" w:line="30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5"/>
    </w:lvl>
  </w:abstractNum>
  <w:abstractNum w:abstractNumId="10">
    <w:nsid w:val="519B500D"/>
    <w:multiLevelType w:val="hybridMultilevel"/>
    <w:lvl w:ilvl="0">
      <w:lvlJc w:val="left"/>
      <w:lvlText w:val="%1."/>
      <w:numFmt w:val="decimal"/>
      <w:start w:val="6"/>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
    </w:lvl>
    <w:lvl w:ilvl="1">
      <w:lvlJc w:val="left"/>
      <w:lvlText w:val="(%2)"/>
      <w:numFmt w:val="lowerLetter"/>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lvl w:ilvl="1">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lvl w:ilvl="1">
      <w:lvlJc w:val="left"/>
      <w:lvlText w:val="%2"/>
      <w:numFmt w:val="decimal"/>
      <w:start w:val="104"/>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6" Type="http://schemas.openxmlformats.org/officeDocument/2006/relationships/hyperlink" Target="https://www.sec.gov/Archives/edgar/data/97476/000009747615000003/txn-12312014xexhibit3a.htm" TargetMode="External"/><Relationship Id="rId47" Type="http://schemas.openxmlformats.org/officeDocument/2006/relationships/hyperlink" Target="https://www.sec.gov/Archives/edgar/data/97476/000119312522018409/d252810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2025-10-23T12:57:47Z</dcterms:created>
  <dcterms:modified xsi:type="dcterms:W3CDTF">2025-10-23T12:57:47Z</dcterms:modified>
</cp:coreProperties>
</file>