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49530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51435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21" w:lineRule="exact"/>
        <w:rPr>
          <w:sz w:val="24"/>
          <w:szCs w:val="24"/>
          <w:color w:val="auto"/>
        </w:rPr>
      </w:pPr>
    </w:p>
    <w:p>
      <w:pPr>
        <w:ind w:left="740" w:right="320" w:hanging="714"/>
        <w:spacing w:after="0" w:line="247" w:lineRule="auto"/>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2025</w:t>
      </w:r>
    </w:p>
    <w:p>
      <w:pPr>
        <w:spacing w:after="0" w:line="40" w:lineRule="exact"/>
        <w:rPr>
          <w:sz w:val="24"/>
          <w:szCs w:val="24"/>
          <w:color w:val="auto"/>
        </w:rPr>
      </w:pPr>
    </w:p>
    <w:p>
      <w:pPr>
        <w:ind w:left="760" w:right="320" w:hanging="721"/>
        <w:spacing w:after="0" w:line="247" w:lineRule="auto"/>
        <w:tabs>
          <w:tab w:leader="none" w:pos="7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0"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34925</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23495</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7" w:lineRule="exact"/>
        <w:rPr>
          <w:sz w:val="24"/>
          <w:szCs w:val="24"/>
          <w:color w:val="auto"/>
        </w:rPr>
      </w:pPr>
    </w:p>
    <w:tbl>
      <w:tblPr>
        <w:tblLayout w:type="fixed"/>
        <w:tblInd w:w="1400" w:type="dxa"/>
        <w:tblCellMar>
          <w:top w:w="0" w:type="dxa"/>
          <w:left w:w="0" w:type="dxa"/>
          <w:bottom w:w="0" w:type="dxa"/>
          <w:right w:w="0" w:type="dxa"/>
        </w:tblCellMar>
      </w:tblPr>
      <w:tr>
        <w:trPr>
          <w:trHeight w:val="239"/>
        </w:trPr>
        <w:tc>
          <w:tcPr>
            <w:tcW w:w="4340" w:type="dxa"/>
            <w:vAlign w:val="bottom"/>
          </w:tcPr>
          <w:p>
            <w:pPr>
              <w:jc w:val="center"/>
              <w:ind w:right="1379"/>
              <w:spacing w:after="0"/>
              <w:rPr>
                <w:sz w:val="20"/>
                <w:szCs w:val="20"/>
                <w:color w:val="auto"/>
              </w:rPr>
            </w:pPr>
            <w:r>
              <w:rPr>
                <w:rFonts w:ascii="Arial" w:cs="Arial" w:eastAsia="Arial" w:hAnsi="Arial"/>
                <w:sz w:val="18"/>
                <w:szCs w:val="18"/>
                <w:b w:val="1"/>
                <w:bCs w:val="1"/>
                <w:color w:val="auto"/>
              </w:rPr>
              <w:t>Delaware</w:t>
            </w:r>
          </w:p>
        </w:tc>
        <w:tc>
          <w:tcPr>
            <w:tcW w:w="3840" w:type="dxa"/>
            <w:vAlign w:val="bottom"/>
          </w:tcPr>
          <w:p>
            <w:pPr>
              <w:jc w:val="right"/>
              <w:ind w:right="619"/>
              <w:spacing w:after="0"/>
              <w:rPr>
                <w:sz w:val="20"/>
                <w:szCs w:val="20"/>
                <w:color w:val="auto"/>
              </w:rPr>
            </w:pPr>
            <w:r>
              <w:rPr>
                <w:rFonts w:ascii="Arial" w:cs="Arial" w:eastAsia="Arial" w:hAnsi="Arial"/>
                <w:sz w:val="18"/>
                <w:szCs w:val="18"/>
                <w:b w:val="1"/>
                <w:bCs w:val="1"/>
                <w:color w:val="auto"/>
              </w:rPr>
              <w:t>75-0289970</w:t>
            </w:r>
          </w:p>
        </w:tc>
      </w:tr>
      <w:tr>
        <w:trPr>
          <w:trHeight w:val="196"/>
        </w:trPr>
        <w:tc>
          <w:tcPr>
            <w:tcW w:w="4340" w:type="dxa"/>
            <w:vAlign w:val="bottom"/>
          </w:tcPr>
          <w:p>
            <w:pPr>
              <w:jc w:val="center"/>
              <w:ind w:right="1379"/>
              <w:spacing w:after="0"/>
              <w:rPr>
                <w:sz w:val="20"/>
                <w:szCs w:val="20"/>
                <w:color w:val="auto"/>
              </w:rPr>
            </w:pPr>
            <w:r>
              <w:rPr>
                <w:rFonts w:ascii="Arial" w:cs="Arial" w:eastAsia="Arial" w:hAnsi="Arial"/>
                <w:sz w:val="14"/>
                <w:szCs w:val="14"/>
                <w:b w:val="1"/>
                <w:bCs w:val="1"/>
                <w:color w:val="auto"/>
              </w:rPr>
              <w:t>(State of Incorporation)</w:t>
            </w:r>
          </w:p>
        </w:tc>
        <w:tc>
          <w:tcPr>
            <w:tcW w:w="3840" w:type="dxa"/>
            <w:vAlign w:val="bottom"/>
          </w:tcPr>
          <w:p>
            <w:pPr>
              <w:jc w:val="center"/>
              <w:ind w:left="1399"/>
              <w:spacing w:after="0"/>
              <w:rPr>
                <w:sz w:val="20"/>
                <w:szCs w:val="20"/>
                <w:color w:val="auto"/>
              </w:rPr>
            </w:pPr>
            <w:r>
              <w:rPr>
                <w:rFonts w:ascii="Arial" w:cs="Arial" w:eastAsia="Arial" w:hAnsi="Arial"/>
                <w:sz w:val="14"/>
                <w:szCs w:val="14"/>
                <w:b w:val="1"/>
                <w:bCs w:val="1"/>
                <w:color w:val="auto"/>
              </w:rPr>
              <w:t>(I.R.S. Employer Identification No.)</w:t>
            </w:r>
          </w:p>
        </w:tc>
      </w:tr>
      <w:tr>
        <w:trPr>
          <w:trHeight w:val="344"/>
        </w:trPr>
        <w:tc>
          <w:tcPr>
            <w:tcW w:w="4340" w:type="dxa"/>
            <w:vAlign w:val="bottom"/>
          </w:tcPr>
          <w:p>
            <w:pPr>
              <w:jc w:val="center"/>
              <w:ind w:right="1399"/>
              <w:spacing w:after="0"/>
              <w:rPr>
                <w:sz w:val="20"/>
                <w:szCs w:val="20"/>
                <w:color w:val="auto"/>
              </w:rPr>
            </w:pPr>
            <w:r>
              <w:rPr>
                <w:rFonts w:ascii="Arial" w:cs="Arial" w:eastAsia="Arial" w:hAnsi="Arial"/>
                <w:sz w:val="18"/>
                <w:szCs w:val="18"/>
                <w:b w:val="1"/>
                <w:bCs w:val="1"/>
                <w:color w:val="auto"/>
                <w:w w:val="99"/>
              </w:rPr>
              <w:t>12500 TI Boulevard, Dallas, Texas</w:t>
            </w:r>
          </w:p>
        </w:tc>
        <w:tc>
          <w:tcPr>
            <w:tcW w:w="3840" w:type="dxa"/>
            <w:vAlign w:val="bottom"/>
          </w:tcPr>
          <w:p>
            <w:pPr>
              <w:jc w:val="right"/>
              <w:ind w:right="859"/>
              <w:spacing w:after="0"/>
              <w:rPr>
                <w:sz w:val="20"/>
                <w:szCs w:val="20"/>
                <w:color w:val="auto"/>
              </w:rPr>
            </w:pPr>
            <w:r>
              <w:rPr>
                <w:rFonts w:ascii="Arial" w:cs="Arial" w:eastAsia="Arial" w:hAnsi="Arial"/>
                <w:sz w:val="18"/>
                <w:szCs w:val="18"/>
                <w:b w:val="1"/>
                <w:bCs w:val="1"/>
                <w:color w:val="auto"/>
              </w:rPr>
              <w:t>75243</w:t>
            </w:r>
          </w:p>
        </w:tc>
      </w:tr>
      <w:tr>
        <w:trPr>
          <w:trHeight w:val="196"/>
        </w:trPr>
        <w:tc>
          <w:tcPr>
            <w:tcW w:w="4340" w:type="dxa"/>
            <w:vAlign w:val="bottom"/>
          </w:tcPr>
          <w:p>
            <w:pPr>
              <w:jc w:val="center"/>
              <w:ind w:right="1379"/>
              <w:spacing w:after="0"/>
              <w:rPr>
                <w:sz w:val="20"/>
                <w:szCs w:val="20"/>
                <w:color w:val="auto"/>
              </w:rPr>
            </w:pPr>
            <w:r>
              <w:rPr>
                <w:rFonts w:ascii="Arial" w:cs="Arial" w:eastAsia="Arial" w:hAnsi="Arial"/>
                <w:sz w:val="14"/>
                <w:szCs w:val="14"/>
                <w:b w:val="1"/>
                <w:bCs w:val="1"/>
                <w:color w:val="auto"/>
              </w:rPr>
              <w:t>(Address of principal executive offices)</w:t>
            </w:r>
          </w:p>
        </w:tc>
        <w:tc>
          <w:tcPr>
            <w:tcW w:w="3840" w:type="dxa"/>
            <w:vAlign w:val="bottom"/>
          </w:tcPr>
          <w:p>
            <w:pPr>
              <w:jc w:val="center"/>
              <w:ind w:left="1379"/>
              <w:spacing w:after="0"/>
              <w:rPr>
                <w:sz w:val="20"/>
                <w:szCs w:val="20"/>
                <w:color w:val="auto"/>
              </w:rPr>
            </w:pPr>
            <w:r>
              <w:rPr>
                <w:rFonts w:ascii="Arial" w:cs="Arial" w:eastAsia="Arial" w:hAnsi="Arial"/>
                <w:sz w:val="14"/>
                <w:szCs w:val="14"/>
                <w:b w:val="1"/>
                <w:bCs w:val="1"/>
                <w:color w:val="auto"/>
              </w:rPr>
              <w:t>(Zip Code)</w:t>
            </w:r>
          </w:p>
        </w:tc>
      </w:tr>
    </w:tbl>
    <w:p>
      <w:pPr>
        <w:spacing w:after="0" w:line="1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92075</wp:posOffset>
            </wp:positionV>
            <wp:extent cx="4166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5"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3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5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$1.00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TXN</w:t>
            </w:r>
          </w:p>
        </w:tc>
        <w:tc>
          <w:tcPr>
            <w:tcW w:w="5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The Nasdaq Global Select Market</w:t>
            </w:r>
          </w:p>
        </w:tc>
      </w:tr>
    </w:tbl>
    <w:p>
      <w:pPr>
        <w:spacing w:after="0" w:line="184" w:lineRule="exact"/>
        <w:rPr>
          <w:sz w:val="24"/>
          <w:szCs w:val="24"/>
          <w:color w:val="auto"/>
        </w:rPr>
      </w:pPr>
    </w:p>
    <w:p>
      <w:pPr>
        <w:ind w:right="16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00"/>
        <w:spacing w:after="0" w:line="22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124" w:lineRule="exact"/>
        <w:rPr>
          <w:sz w:val="24"/>
          <w:szCs w:val="24"/>
          <w:color w:val="auto"/>
        </w:rPr>
      </w:pPr>
    </w:p>
    <w:p>
      <w:pPr>
        <w:jc w:val="both"/>
        <w:ind w:right="34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1640"/>
              <w:spacing w:after="0"/>
              <w:rPr>
                <w:sz w:val="20"/>
                <w:szCs w:val="20"/>
                <w:color w:val="auto"/>
              </w:rPr>
            </w:pPr>
            <w:r>
              <w:rPr>
                <w:rFonts w:ascii="Arial" w:cs="Arial" w:eastAsia="Arial" w:hAnsi="Arial"/>
                <w:sz w:val="18"/>
                <w:szCs w:val="18"/>
                <w:color w:val="auto"/>
              </w:rPr>
              <w:t>Accelerated filer</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Non-accelerated filer</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1640"/>
              <w:spacing w:after="0"/>
              <w:rPr>
                <w:sz w:val="20"/>
                <w:szCs w:val="20"/>
                <w:color w:val="auto"/>
              </w:rPr>
            </w:pPr>
            <w:r>
              <w:rPr>
                <w:rFonts w:ascii="Arial" w:cs="Arial" w:eastAsia="Arial" w:hAnsi="Arial"/>
                <w:sz w:val="18"/>
                <w:szCs w:val="18"/>
                <w:color w:val="auto"/>
              </w:rPr>
              <w:t>Smaller reporting company</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9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spacing w:after="0"/>
              <w:rPr>
                <w:sz w:val="23"/>
                <w:szCs w:val="23"/>
                <w:color w:val="auto"/>
              </w:rPr>
            </w:pPr>
          </w:p>
        </w:tc>
        <w:tc>
          <w:tcPr>
            <w:tcW w:w="940" w:type="dxa"/>
            <w:vAlign w:val="bottom"/>
          </w:tcPr>
          <w:p>
            <w:pPr>
              <w:spacing w:after="0"/>
              <w:rPr>
                <w:sz w:val="23"/>
                <w:szCs w:val="23"/>
                <w:color w:val="auto"/>
              </w:rPr>
            </w:pPr>
          </w:p>
        </w:tc>
      </w:tr>
    </w:tbl>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580" w:type="dxa"/>
            <w:vAlign w:val="bottom"/>
          </w:tcPr>
          <w:p>
            <w:pPr>
              <w:ind w:left="20"/>
              <w:spacing w:after="0"/>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w:t>
            </w:r>
          </w:p>
        </w:tc>
        <w:tc>
          <w:tcPr>
            <w:tcW w:w="660" w:type="dxa"/>
            <w:vAlign w:val="bottom"/>
            <w:vMerge w:val="restart"/>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55"/>
        </w:trPr>
        <w:tc>
          <w:tcPr>
            <w:tcW w:w="10580" w:type="dxa"/>
            <w:vAlign w:val="bottom"/>
            <w:vMerge w:val="restart"/>
          </w:tcPr>
          <w:p>
            <w:pPr>
              <w:ind w:left="20"/>
              <w:spacing w:after="0"/>
              <w:rPr>
                <w:sz w:val="20"/>
                <w:szCs w:val="20"/>
                <w:color w:val="auto"/>
              </w:rPr>
            </w:pPr>
            <w:r>
              <w:rPr>
                <w:rFonts w:ascii="Arial" w:cs="Arial" w:eastAsia="Arial" w:hAnsi="Arial"/>
                <w:sz w:val="18"/>
                <w:szCs w:val="18"/>
                <w:color w:val="auto"/>
              </w:rPr>
              <w:t>complying with any new or revised financial accounting standards provided pursuant to Section 13(a) of the Exchange Act</w:t>
            </w: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05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9"/>
        </w:trPr>
        <w:tc>
          <w:tcPr>
            <w:tcW w:w="10580" w:type="dxa"/>
            <w:vAlign w:val="bottom"/>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0580" w:type="dxa"/>
            <w:vAlign w:val="bottom"/>
          </w:tcPr>
          <w:p>
            <w:pPr>
              <w:jc w:val="center"/>
              <w:ind w:left="570"/>
              <w:spacing w:after="0"/>
              <w:rPr>
                <w:sz w:val="20"/>
                <w:szCs w:val="20"/>
                <w:color w:val="auto"/>
              </w:rPr>
            </w:pPr>
            <w:r>
              <w:rPr>
                <w:rFonts w:ascii="Arial" w:cs="Arial" w:eastAsia="Arial" w:hAnsi="Arial"/>
                <w:sz w:val="18"/>
                <w:szCs w:val="18"/>
                <w:color w:val="auto"/>
                <w:w w:val="99"/>
              </w:rPr>
              <w:t>909,137,169</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0580" w:type="dxa"/>
            <w:vAlign w:val="bottom"/>
          </w:tcPr>
          <w:p>
            <w:pPr>
              <w:jc w:val="center"/>
              <w:ind w:left="590"/>
              <w:spacing w:after="0"/>
              <w:rPr>
                <w:sz w:val="20"/>
                <w:szCs w:val="20"/>
                <w:color w:val="auto"/>
              </w:rPr>
            </w:pPr>
            <w:r>
              <w:rPr>
                <w:rFonts w:ascii="Arial" w:cs="Arial" w:eastAsia="Arial" w:hAnsi="Arial"/>
                <w:sz w:val="18"/>
                <w:szCs w:val="18"/>
                <w:color w:val="auto"/>
                <w:w w:val="99"/>
              </w:rPr>
              <w:t>Number of shares of Registrant’s common stock outstanding as of</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580" w:type="dxa"/>
            <w:vAlign w:val="bottom"/>
          </w:tcPr>
          <w:p>
            <w:pPr>
              <w:jc w:val="center"/>
              <w:ind w:left="570"/>
              <w:spacing w:after="0"/>
              <w:rPr>
                <w:sz w:val="20"/>
                <w:szCs w:val="20"/>
                <w:color w:val="auto"/>
              </w:rPr>
            </w:pPr>
            <w:r>
              <w:rPr>
                <w:rFonts w:ascii="Arial" w:cs="Arial" w:eastAsia="Arial" w:hAnsi="Arial"/>
                <w:sz w:val="18"/>
                <w:szCs w:val="18"/>
                <w:color w:val="auto"/>
              </w:rPr>
              <w:t>July 22, 2025</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0580" w:type="dxa"/>
            <w:vAlign w:val="bottom"/>
            <w:tcBorders>
              <w:bottom w:val="single" w:sz="8" w:color="9A9A9A"/>
            </w:tcBorders>
          </w:tcPr>
          <w:p>
            <w:pPr>
              <w:spacing w:after="0"/>
              <w:rPr>
                <w:sz w:val="23"/>
                <w:szCs w:val="23"/>
                <w:color w:val="auto"/>
              </w:rPr>
            </w:pPr>
          </w:p>
        </w:tc>
        <w:tc>
          <w:tcPr>
            <w:tcW w:w="66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96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Income</w:t>
            </w:r>
          </w:p>
        </w:tc>
        <w:tc>
          <w:tcPr>
            <w:tcW w:w="12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Three Months Ended</w:t>
            </w:r>
          </w:p>
        </w:tc>
        <w:tc>
          <w:tcPr>
            <w:tcW w:w="280" w:type="dxa"/>
            <w:vAlign w:val="bottom"/>
          </w:tcPr>
          <w:p>
            <w:pPr>
              <w:spacing w:after="0"/>
              <w:rPr>
                <w:sz w:val="17"/>
                <w:szCs w:val="17"/>
                <w:color w:val="auto"/>
              </w:rPr>
            </w:pPr>
          </w:p>
        </w:tc>
        <w:tc>
          <w:tcPr>
            <w:tcW w:w="222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For Six Months Ended</w:t>
            </w:r>
          </w:p>
        </w:tc>
        <w:tc>
          <w:tcPr>
            <w:tcW w:w="0" w:type="dxa"/>
            <w:vAlign w:val="bottom"/>
          </w:tcPr>
          <w:p>
            <w:pPr>
              <w:spacing w:after="0"/>
              <w:rPr>
                <w:sz w:val="1"/>
                <w:szCs w:val="1"/>
                <w:color w:val="auto"/>
              </w:rPr>
            </w:pPr>
          </w:p>
        </w:tc>
      </w:tr>
      <w:tr>
        <w:trPr>
          <w:trHeight w:val="259"/>
        </w:trPr>
        <w:tc>
          <w:tcPr>
            <w:tcW w:w="5960" w:type="dxa"/>
            <w:vAlign w:val="bottom"/>
            <w:tcBorders>
              <w:bottom w:val="single" w:sz="8" w:color="auto"/>
            </w:tcBorders>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608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per-share amounts)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DBDBD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DBDBD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60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4,448</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3,822</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8,517</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7,483</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 (COR)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1,873</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3,629</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23"/>
        </w:trPr>
        <w:tc>
          <w:tcPr>
            <w:tcW w:w="60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2,575</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2,211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4,888</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29"/>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(R&amp;D)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485</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957</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Restructuring charges/other</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608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Operating profit</w:t>
            </w:r>
          </w:p>
        </w:tc>
        <w:tc>
          <w:tcPr>
            <w:tcW w:w="260" w:type="dxa"/>
            <w:vAlign w:val="bottom"/>
            <w:tcBorders>
              <w:top w:val="single" w:sz="8" w:color="auto"/>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1,563</w:t>
            </w:r>
          </w:p>
        </w:tc>
        <w:tc>
          <w:tcPr>
            <w:tcW w:w="100" w:type="dxa"/>
            <w:vAlign w:val="bottom"/>
            <w:tcBorders>
              <w:top w:val="single" w:sz="8" w:color="DBDBDB"/>
            </w:tcBorders>
            <w:shd w:val="clear" w:color="auto" w:fill="DBDBDB"/>
          </w:tcPr>
          <w:p>
            <w:pPr>
              <w:spacing w:after="0"/>
              <w:rPr>
                <w:sz w:val="19"/>
                <w:szCs w:val="19"/>
                <w:color w:val="auto"/>
              </w:rPr>
            </w:pPr>
          </w:p>
        </w:tc>
        <w:tc>
          <w:tcPr>
            <w:tcW w:w="340" w:type="dxa"/>
            <w:vAlign w:val="bottom"/>
            <w:tcBorders>
              <w:top w:val="single" w:sz="8" w:color="auto"/>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1,248</w:t>
            </w:r>
          </w:p>
        </w:tc>
        <w:tc>
          <w:tcPr>
            <w:tcW w:w="12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spacing w:after="0"/>
              <w:rPr>
                <w:sz w:val="19"/>
                <w:szCs w:val="19"/>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2,887</w:t>
            </w:r>
          </w:p>
        </w:tc>
        <w:tc>
          <w:tcPr>
            <w:tcW w:w="100" w:type="dxa"/>
            <w:vAlign w:val="bottom"/>
            <w:tcBorders>
              <w:top w:val="single" w:sz="8" w:color="DBDBDB"/>
            </w:tcBorders>
            <w:shd w:val="clear" w:color="auto" w:fill="DBDBDB"/>
          </w:tcPr>
          <w:p>
            <w:pPr>
              <w:spacing w:after="0"/>
              <w:rPr>
                <w:sz w:val="19"/>
                <w:szCs w:val="19"/>
                <w:color w:val="auto"/>
              </w:rPr>
            </w:pPr>
          </w:p>
        </w:tc>
        <w:tc>
          <w:tcPr>
            <w:tcW w:w="340" w:type="dxa"/>
            <w:vAlign w:val="bottom"/>
            <w:tcBorders>
              <w:top w:val="single" w:sz="8" w:color="auto"/>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 (OI&amp;E)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Interest and debt expense</w:t>
            </w:r>
          </w:p>
        </w:tc>
        <w:tc>
          <w:tcPr>
            <w:tcW w:w="26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133</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261</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2,754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183</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280</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0"/>
        </w:trPr>
        <w:tc>
          <w:tcPr>
            <w:tcW w:w="596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Earnings per common share (EPS):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08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1.42</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2.71</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596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1.41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1.22</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2.69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596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Average shares outstanding:</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608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DBDBDB"/>
          </w:tcPr>
          <w:p>
            <w:pPr>
              <w:spacing w:after="0"/>
              <w:rPr>
                <w:sz w:val="21"/>
                <w:szCs w:val="21"/>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908</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spacing w:after="0"/>
              <w:rPr>
                <w:sz w:val="21"/>
                <w:szCs w:val="21"/>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912</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spacing w:after="0"/>
              <w:rPr>
                <w:sz w:val="21"/>
                <w:szCs w:val="21"/>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909</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spacing w:after="0"/>
              <w:rPr>
                <w:sz w:val="21"/>
                <w:szCs w:val="21"/>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0"/>
        </w:trPr>
        <w:tc>
          <w:tcPr>
            <w:tcW w:w="596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912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914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0" w:right="760"/>
        <w:spacing w:after="0"/>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1,295</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1,127</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2,474</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2,232</w:t>
            </w:r>
          </w:p>
        </w:tc>
      </w:tr>
      <w:tr>
        <w:trPr>
          <w:trHeight w:val="230"/>
        </w:trPr>
        <w:tc>
          <w:tcPr>
            <w:tcW w:w="60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allocated to RSUs</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6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1,288</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1,121</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2,461</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2,221</w:t>
            </w:r>
          </w:p>
        </w:tc>
      </w:tr>
      <w:tr>
        <w:trPr>
          <w:trHeight w:val="20"/>
        </w:trPr>
        <w:tc>
          <w:tcPr>
            <w:tcW w:w="60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6"/>
        </w:trPr>
        <w:tc>
          <w:tcPr>
            <w:tcW w:w="60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Comprehensive Income</w:t>
            </w:r>
          </w:p>
        </w:tc>
        <w:tc>
          <w:tcPr>
            <w:tcW w:w="10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Three Months Ended</w:t>
            </w:r>
          </w:p>
        </w:tc>
        <w:tc>
          <w:tcPr>
            <w:tcW w:w="280" w:type="dxa"/>
            <w:vAlign w:val="bottom"/>
          </w:tcPr>
          <w:p>
            <w:pPr>
              <w:spacing w:after="0"/>
              <w:rPr>
                <w:sz w:val="17"/>
                <w:szCs w:val="17"/>
                <w:color w:val="auto"/>
              </w:rPr>
            </w:pPr>
          </w:p>
        </w:tc>
        <w:tc>
          <w:tcPr>
            <w:tcW w:w="224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For Six Months Ended</w:t>
            </w:r>
          </w:p>
        </w:tc>
        <w:tc>
          <w:tcPr>
            <w:tcW w:w="0" w:type="dxa"/>
            <w:vAlign w:val="bottom"/>
          </w:tcPr>
          <w:p>
            <w:pPr>
              <w:spacing w:after="0"/>
              <w:rPr>
                <w:sz w:val="1"/>
                <w:szCs w:val="1"/>
                <w:color w:val="auto"/>
              </w:rPr>
            </w:pPr>
          </w:p>
        </w:tc>
      </w:tr>
      <w:tr>
        <w:trPr>
          <w:trHeight w:val="259"/>
        </w:trPr>
        <w:tc>
          <w:tcPr>
            <w:tcW w:w="600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61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DBDBD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DBDBD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61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1,295</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1,127</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2,474</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29"/>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Net actuarial losses of defined benefit plans: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Adjustments, net of tax effect of $4 and ($1); $7 and ($3)</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5"/>
        </w:trPr>
        <w:tc>
          <w:tcPr>
            <w:tcW w:w="6100" w:type="dxa"/>
            <w:vAlign w:val="bottom"/>
            <w:gridSpan w:val="2"/>
            <w:shd w:val="clear" w:color="auto" w:fill="DBDBDB"/>
          </w:tcPr>
          <w:p>
            <w:pPr>
              <w:ind w:left="220"/>
              <w:spacing w:after="0" w:line="176" w:lineRule="exact"/>
              <w:rPr>
                <w:sz w:val="20"/>
                <w:szCs w:val="20"/>
                <w:color w:val="auto"/>
              </w:rPr>
            </w:pPr>
            <w:r>
              <w:rPr>
                <w:rFonts w:ascii="Arial" w:cs="Arial" w:eastAsia="Arial" w:hAnsi="Arial"/>
                <w:sz w:val="18"/>
                <w:szCs w:val="18"/>
                <w:color w:val="auto"/>
              </w:rPr>
              <w:t>Recognized within net income, net of tax effect of ($1) and ($1); ($2)</w:t>
            </w:r>
          </w:p>
        </w:tc>
        <w:tc>
          <w:tcPr>
            <w:tcW w:w="280" w:type="dxa"/>
            <w:vAlign w:val="bottom"/>
            <w:shd w:val="clear" w:color="auto" w:fill="DBDBDB"/>
          </w:tcPr>
          <w:p>
            <w:pPr>
              <w:spacing w:after="0"/>
              <w:rPr>
                <w:sz w:val="15"/>
                <w:szCs w:val="15"/>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61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and ($2)</w:t>
            </w:r>
          </w:p>
        </w:tc>
        <w:tc>
          <w:tcPr>
            <w:tcW w:w="280" w:type="dxa"/>
            <w:vAlign w:val="bottom"/>
            <w:shd w:val="clear" w:color="auto" w:fill="DBDBDB"/>
          </w:tcPr>
          <w:p>
            <w:pPr>
              <w:spacing w:after="0"/>
              <w:rPr>
                <w:sz w:val="21"/>
                <w:szCs w:val="21"/>
                <w:color w:val="auto"/>
              </w:rPr>
            </w:pPr>
          </w:p>
        </w:tc>
        <w:tc>
          <w:tcPr>
            <w:tcW w:w="9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86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9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86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10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Change in fair value, net of tax effect of $0 and $0; $0 and $0</w:t>
            </w:r>
          </w:p>
        </w:tc>
        <w:tc>
          <w:tcPr>
            <w:tcW w:w="2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100" w:type="dxa"/>
            <w:vAlign w:val="bottom"/>
            <w:gridSpan w:val="2"/>
          </w:tcPr>
          <w:p>
            <w:pPr>
              <w:ind w:left="140"/>
              <w:spacing w:after="0"/>
              <w:rPr>
                <w:sz w:val="20"/>
                <w:szCs w:val="20"/>
                <w:color w:val="auto"/>
              </w:rPr>
            </w:pPr>
            <w:r>
              <w:rPr>
                <w:rFonts w:ascii="Arial" w:cs="Arial" w:eastAsia="Arial" w:hAnsi="Arial"/>
                <w:sz w:val="18"/>
                <w:szCs w:val="18"/>
                <w:color w:val="auto"/>
              </w:rPr>
              <w:t>Available-for-sale investments: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Unrealized gains (losses), net of tax effect of $0 and $0; $0 and $2</w:t>
            </w:r>
          </w:p>
        </w:tc>
        <w:tc>
          <w:tcPr>
            <w:tcW w:w="2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DBDBDB"/>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DBDBDB"/>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DBDBDB"/>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1,286</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2,458</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0"/>
        </w:trPr>
        <w:tc>
          <w:tcPr>
            <w:tcW w:w="60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6"/>
        </w:trPr>
        <w:tc>
          <w:tcPr>
            <w:tcW w:w="832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Balance Sheets</w:t>
            </w:r>
          </w:p>
        </w:tc>
        <w:tc>
          <w:tcPr>
            <w:tcW w:w="120" w:type="dxa"/>
            <w:vAlign w:val="bottom"/>
            <w:vMerge w:val="restart"/>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7"/>
                <w:szCs w:val="17"/>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59"/>
        </w:trPr>
        <w:tc>
          <w:tcPr>
            <w:tcW w:w="8320" w:type="dxa"/>
            <w:vAlign w:val="bottom"/>
            <w:tcBorders>
              <w:bottom w:val="single" w:sz="8" w:color="auto"/>
            </w:tcBorders>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5"/>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except par value)</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1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3,044</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2,315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4,380</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receivable, net of allowances of ($24) and ($21)</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1,934</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20"/>
              <w:spacing w:after="0"/>
              <w:rPr>
                <w:sz w:val="20"/>
                <w:szCs w:val="20"/>
                <w:color w:val="auto"/>
              </w:rPr>
            </w:pPr>
            <w:r>
              <w:rPr>
                <w:rFonts w:ascii="Arial" w:cs="Arial" w:eastAsia="Arial" w:hAnsi="Arial"/>
                <w:sz w:val="18"/>
                <w:szCs w:val="18"/>
                <w:color w:val="auto"/>
              </w:rPr>
              <w:t>Raw materials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Work in process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2,429</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1,981</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4,812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2,379</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14,484</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15,026</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16,878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15,254</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Accumulated depreciation</w:t>
            </w:r>
          </w:p>
        </w:tc>
        <w:tc>
          <w:tcPr>
            <w:tcW w:w="2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(4,557)</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2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12,321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11,347</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4,362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Overfunded retirement plans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2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2,169</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34,933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35,509</w:t>
            </w:r>
          </w:p>
        </w:tc>
        <w:tc>
          <w:tcPr>
            <w:tcW w:w="0" w:type="dxa"/>
            <w:vAlign w:val="bottom"/>
          </w:tcPr>
          <w:p>
            <w:pPr>
              <w:spacing w:after="0"/>
              <w:rPr>
                <w:sz w:val="1"/>
                <w:szCs w:val="1"/>
                <w:color w:val="auto"/>
              </w:rPr>
            </w:pPr>
          </w:p>
        </w:tc>
      </w:tr>
      <w:tr>
        <w:trPr>
          <w:trHeight w:val="20"/>
        </w:trPr>
        <w:tc>
          <w:tcPr>
            <w:tcW w:w="83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881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963</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2,492</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14,043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12,846</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1,810</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18,530</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18,606</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Preferred stock, $25 par value. Shares authorized – 10; none issued</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Paid-in capital</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4,245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52,249</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52,262</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Treasury common stock at cost</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Shares: June 30, 2025 – 832; December 31, 2024 – 830</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(41,676)</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(40,895)</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Accumulated other comprehensive income (loss), net of taxes (AOCI)</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16,403</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16,903</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34,933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35,509</w:t>
            </w: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6"/>
        </w:trPr>
        <w:tc>
          <w:tcPr>
            <w:tcW w:w="86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Cash Flows</w:t>
            </w:r>
          </w:p>
        </w:tc>
        <w:tc>
          <w:tcPr>
            <w:tcW w:w="10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For Six Months Ended</w:t>
            </w:r>
          </w:p>
        </w:tc>
        <w:tc>
          <w:tcPr>
            <w:tcW w:w="0" w:type="dxa"/>
            <w:vAlign w:val="bottom"/>
          </w:tcPr>
          <w:p>
            <w:pPr>
              <w:spacing w:after="0"/>
              <w:rPr>
                <w:sz w:val="1"/>
                <w:szCs w:val="1"/>
                <w:color w:val="auto"/>
              </w:rPr>
            </w:pPr>
          </w:p>
        </w:tc>
      </w:tr>
      <w:tr>
        <w:trPr>
          <w:trHeight w:val="259"/>
        </w:trPr>
        <w:tc>
          <w:tcPr>
            <w:tcW w:w="860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DBDBD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2,474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Adjustments to net income: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Amortization of capitalized software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Stock compensation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Gains on sales of assets</w:t>
            </w:r>
          </w:p>
        </w:tc>
        <w:tc>
          <w:tcPr>
            <w:tcW w:w="2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Deferred taxes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Increase (decrease) from changes in:</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(285)</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Changes in funded status of retirement plans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2,709</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w:t>
            </w:r>
          </w:p>
        </w:tc>
        <w:tc>
          <w:tcPr>
            <w:tcW w:w="0" w:type="dxa"/>
            <w:vAlign w:val="bottom"/>
          </w:tcPr>
          <w:p>
            <w:pPr>
              <w:spacing w:after="0"/>
              <w:rPr>
                <w:sz w:val="1"/>
                <w:szCs w:val="1"/>
                <w:color w:val="auto"/>
              </w:rPr>
            </w:pPr>
          </w:p>
        </w:tc>
      </w:tr>
      <w:tr>
        <w:trPr>
          <w:trHeight w:val="196"/>
        </w:trPr>
        <w:tc>
          <w:tcPr>
            <w:tcW w:w="86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(2,428)</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Proceeds from U.S. CHIPS and Science Act (CHIPS Act) incentives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asset sales</w:t>
            </w:r>
          </w:p>
        </w:tc>
        <w:tc>
          <w:tcPr>
            <w:tcW w:w="2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Purchases of short-term investments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(1,839)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(6,962)</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short-term investments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3,938</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5,761</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(82)</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196"/>
        </w:trPr>
        <w:tc>
          <w:tcPr>
            <w:tcW w:w="8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Proceeds from issuance of long-term debt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Repayment of debt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(2,473)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(955)</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Proceeds from common stock transactions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(2,783)</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196"/>
        </w:trPr>
        <w:tc>
          <w:tcPr>
            <w:tcW w:w="86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3,200</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23"/>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0"/>
        </w:trPr>
        <w:tc>
          <w:tcPr>
            <w:tcW w:w="86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Investment tax credit (ITC) used to reduce income taxes payable</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203</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Proceeds from CHIPS Act incentives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 cash benefit related to the CHIPS Act</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463</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86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225"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We design and manufacture semiconductors that we sell to electronics designers and manufacturers all over the world. We have two reportable segments, Analog and Embedded Processing, each of which represents groups of products that have similar design and development requirements, product characteristics and manufacturing processes. Our segments reflect how our chief operating decision maker (CODM), which is our chief executive officer, allocates resources and measures results.</w:t>
      </w:r>
    </w:p>
    <w:p>
      <w:pPr>
        <w:spacing w:after="0" w:line="176" w:lineRule="exact"/>
        <w:rPr>
          <w:sz w:val="20"/>
          <w:szCs w:val="20"/>
          <w:color w:val="auto"/>
        </w:rPr>
      </w:pPr>
    </w:p>
    <w:p>
      <w:pPr>
        <w:ind w:left="620" w:right="40" w:hanging="329"/>
        <w:spacing w:after="0" w:line="259"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Our Analog segment consists of two major product lines: Power and Signal Chain.</w:t>
      </w:r>
    </w:p>
    <w:p>
      <w:pPr>
        <w:spacing w:after="0" w:line="71" w:lineRule="exact"/>
        <w:rPr>
          <w:rFonts w:ascii="Arial" w:cs="Arial" w:eastAsia="Arial" w:hAnsi="Arial"/>
          <w:sz w:val="18"/>
          <w:szCs w:val="18"/>
          <w:color w:val="auto"/>
        </w:rPr>
      </w:pPr>
    </w:p>
    <w:p>
      <w:pPr>
        <w:ind w:left="620" w:right="180" w:hanging="329"/>
        <w:spacing w:after="0" w:line="287"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Embedded Processing products are the digital “brains” of many types of electronic equipment. They are designed to handle specific tasks and can be optimized for various combinations of performance, power and cost, depending on the application.</w:t>
      </w:r>
    </w:p>
    <w:p>
      <w:pPr>
        <w:spacing w:after="0" w:line="15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10"/>
          <w:szCs w:val="10"/>
          <w:color w:val="auto"/>
        </w:rPr>
        <w:t>®</w:t>
      </w:r>
      <w:r>
        <w:rPr>
          <w:rFonts w:ascii="Arial" w:cs="Arial" w:eastAsia="Arial" w:hAnsi="Arial"/>
          <w:sz w:val="18"/>
          <w:szCs w:val="18"/>
          <w:color w:val="auto"/>
        </w:rPr>
        <w:t xml:space="preserve"> products, calculators and custom ASIC products.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Other, we also include items that are not used in evaluating the results of or in allocating resources to our segments. Examples of these items include acquisition, integration and restructuring charges, and certain corporate-level items, such as litigation expenses, environmental costs, insurance settlements, and gains and losses from other activities, including asset dispositions. We allocate the remainder of our expenses associated with corporate activities to our operating segments based on specific methodologies, such as percentage of operating expenses or headcount.</w:t>
      </w:r>
    </w:p>
    <w:p>
      <w:pPr>
        <w:spacing w:after="0" w:line="179"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Costs incurred by our centralized manufacturing and support organizations, including depreciation, are charged to the operating segments, including those in Other, on a per-unit basis. Consequently, depreciation expense is not an independently identifiable component within the segments’ results and, therefore, is not provided.</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With the exception of goodwill, we do not identify or allocate assets by operating segment, nor does the CODM evaluate operating segments using discrete asset information. We have no material intersegment revenue. The accounting policies of the segments are consistent with those described in the significant accounting policies and practices.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9"/>
          </w:tcPr>
          <w:p>
            <w:pPr>
              <w:jc w:val="right"/>
              <w:ind w:right="110"/>
              <w:spacing w:after="0"/>
              <w:rPr>
                <w:sz w:val="20"/>
                <w:szCs w:val="20"/>
                <w:color w:val="auto"/>
              </w:rPr>
            </w:pPr>
            <w:r>
              <w:rPr>
                <w:rFonts w:ascii="Arial" w:cs="Arial" w:eastAsia="Arial" w:hAnsi="Arial"/>
                <w:sz w:val="14"/>
                <w:szCs w:val="14"/>
                <w:b w:val="1"/>
                <w:bCs w:val="1"/>
                <w:color w:val="auto"/>
              </w:rPr>
              <w:t>For Three Months Ended June 30, 2025</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2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Analog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Embedded</w:t>
            </w:r>
          </w:p>
        </w:tc>
        <w:tc>
          <w:tcPr>
            <w:tcW w:w="240" w:type="dxa"/>
            <w:vAlign w:val="bottom"/>
          </w:tcPr>
          <w:p>
            <w:pPr>
              <w:spacing w:after="0"/>
              <w:rPr>
                <w:sz w:val="12"/>
                <w:szCs w:val="12"/>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2"/>
                <w:szCs w:val="12"/>
                <w:color w:val="auto"/>
              </w:rPr>
            </w:pPr>
          </w:p>
        </w:tc>
        <w:tc>
          <w:tcPr>
            <w:tcW w:w="8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2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Processing</w:t>
            </w:r>
          </w:p>
        </w:tc>
        <w:tc>
          <w:tcPr>
            <w:tcW w:w="2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216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3,452</w:t>
            </w:r>
          </w:p>
        </w:tc>
        <w:tc>
          <w:tcPr>
            <w:tcW w:w="6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679</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317</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4,448</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DBDBDB"/>
            </w:tcBorders>
          </w:tcPr>
          <w:p>
            <w:pPr>
              <w:ind w:left="20"/>
              <w:spacing w:after="0"/>
              <w:rPr>
                <w:sz w:val="20"/>
                <w:szCs w:val="20"/>
                <w:color w:val="auto"/>
              </w:rPr>
            </w:pPr>
            <w:r>
              <w:rPr>
                <w:rFonts w:ascii="Arial" w:cs="Arial" w:eastAsia="Arial" w:hAnsi="Arial"/>
                <w:sz w:val="18"/>
                <w:szCs w:val="18"/>
                <w:b w:val="1"/>
                <w:bCs w:val="1"/>
                <w:color w:val="auto"/>
              </w:rPr>
              <w:t>Cost of revenue</w:t>
            </w:r>
          </w:p>
        </w:tc>
        <w:tc>
          <w:tcPr>
            <w:tcW w:w="216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1,395</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w:t>
            </w:r>
          </w:p>
        </w:tc>
        <w:tc>
          <w:tcPr>
            <w:tcW w:w="1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1,873</w:t>
            </w:r>
          </w:p>
        </w:tc>
        <w:tc>
          <w:tcPr>
            <w:tcW w:w="0" w:type="dxa"/>
            <w:vAlign w:val="bottom"/>
          </w:tcPr>
          <w:p>
            <w:pPr>
              <w:spacing w:after="0"/>
              <w:rPr>
                <w:sz w:val="1"/>
                <w:szCs w:val="1"/>
                <w:color w:val="auto"/>
              </w:rPr>
            </w:pPr>
          </w:p>
        </w:tc>
      </w:tr>
      <w:tr>
        <w:trPr>
          <w:trHeight w:val="223"/>
        </w:trPr>
        <w:tc>
          <w:tcPr>
            <w:tcW w:w="42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Gross profit</w:t>
            </w:r>
          </w:p>
        </w:tc>
        <w:tc>
          <w:tcPr>
            <w:tcW w:w="21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2,057</w:t>
            </w: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314</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204</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2,575</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Research and development</w:t>
            </w: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383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527</w:t>
            </w:r>
          </w:p>
        </w:tc>
        <w:tc>
          <w:tcPr>
            <w:tcW w:w="0" w:type="dxa"/>
            <w:vAlign w:val="bottom"/>
          </w:tcPr>
          <w:p>
            <w:pPr>
              <w:spacing w:after="0"/>
              <w:rPr>
                <w:sz w:val="1"/>
                <w:szCs w:val="1"/>
                <w:color w:val="auto"/>
              </w:rPr>
            </w:pPr>
          </w:p>
        </w:tc>
      </w:tr>
      <w:tr>
        <w:trPr>
          <w:trHeight w:val="229"/>
        </w:trPr>
        <w:tc>
          <w:tcPr>
            <w:tcW w:w="42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Selling, general and administrative</w:t>
            </w:r>
          </w:p>
        </w:tc>
        <w:tc>
          <w:tcPr>
            <w:tcW w:w="216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349</w:t>
            </w:r>
          </w:p>
        </w:tc>
        <w:tc>
          <w:tcPr>
            <w:tcW w:w="6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104</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485</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Operating profit</w:t>
            </w:r>
          </w:p>
        </w:tc>
        <w:tc>
          <w:tcPr>
            <w:tcW w:w="21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1,325</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1,563</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160" w:type="dxa"/>
            <w:vAlign w:val="bottom"/>
            <w:vMerge w:val="restart"/>
          </w:tcPr>
          <w:p>
            <w:pPr>
              <w:jc w:val="right"/>
              <w:ind w:right="670"/>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1"/>
        </w:trPr>
        <w:tc>
          <w:tcPr>
            <w:tcW w:w="428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28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9"/>
          </w:tcPr>
          <w:p>
            <w:pPr>
              <w:jc w:val="center"/>
              <w:ind w:right="110"/>
              <w:spacing w:after="0"/>
              <w:rPr>
                <w:sz w:val="20"/>
                <w:szCs w:val="20"/>
                <w:color w:val="auto"/>
              </w:rPr>
            </w:pPr>
            <w:r>
              <w:rPr>
                <w:rFonts w:ascii="Arial" w:cs="Arial" w:eastAsia="Arial" w:hAnsi="Arial"/>
                <w:sz w:val="14"/>
                <w:szCs w:val="14"/>
                <w:b w:val="1"/>
                <w:bCs w:val="1"/>
                <w:color w:val="auto"/>
              </w:rPr>
              <w:t>For Three Months Ended June 30, 2024</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Analog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Embedded</w:t>
            </w:r>
          </w:p>
        </w:tc>
        <w:tc>
          <w:tcPr>
            <w:tcW w:w="240" w:type="dxa"/>
            <w:vAlign w:val="bottom"/>
          </w:tcPr>
          <w:p>
            <w:pPr>
              <w:spacing w:after="0"/>
              <w:rPr>
                <w:sz w:val="12"/>
                <w:szCs w:val="12"/>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2"/>
                <w:szCs w:val="12"/>
                <w:color w:val="auto"/>
              </w:rPr>
            </w:pPr>
          </w:p>
        </w:tc>
        <w:tc>
          <w:tcPr>
            <w:tcW w:w="8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Processing</w:t>
            </w:r>
          </w:p>
        </w:tc>
        <w:tc>
          <w:tcPr>
            <w:tcW w:w="2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4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2,928</w:t>
            </w:r>
          </w:p>
        </w:tc>
        <w:tc>
          <w:tcPr>
            <w:tcW w:w="6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23"/>
        </w:trPr>
        <w:tc>
          <w:tcPr>
            <w:tcW w:w="6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1,735</w:t>
            </w: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30"/>
        </w:trPr>
        <w:tc>
          <w:tcPr>
            <w:tcW w:w="6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auto"/>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328</w:t>
            </w:r>
          </w:p>
        </w:tc>
        <w:tc>
          <w:tcPr>
            <w:tcW w:w="6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6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For Six Months Ended June 30, 2025</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6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Analog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Embedded</w:t>
            </w:r>
          </w:p>
        </w:tc>
        <w:tc>
          <w:tcPr>
            <w:tcW w:w="240" w:type="dxa"/>
            <w:vAlign w:val="bottom"/>
          </w:tcPr>
          <w:p>
            <w:pPr>
              <w:spacing w:after="0"/>
              <w:rPr>
                <w:sz w:val="12"/>
                <w:szCs w:val="12"/>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2"/>
                <w:szCs w:val="12"/>
                <w:color w:val="auto"/>
              </w:rPr>
            </w:pPr>
          </w:p>
        </w:tc>
        <w:tc>
          <w:tcPr>
            <w:tcW w:w="8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Processing</w:t>
            </w:r>
          </w:p>
        </w:tc>
        <w:tc>
          <w:tcPr>
            <w:tcW w:w="2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4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6,662</w:t>
            </w:r>
          </w:p>
        </w:tc>
        <w:tc>
          <w:tcPr>
            <w:tcW w:w="6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1,326</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529</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8,517</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DBDBDB"/>
            </w:tcBorders>
          </w:tcPr>
          <w:p>
            <w:pPr>
              <w:ind w:left="20"/>
              <w:spacing w:after="0"/>
              <w:rPr>
                <w:sz w:val="20"/>
                <w:szCs w:val="20"/>
                <w:color w:val="auto"/>
              </w:rPr>
            </w:pPr>
            <w:r>
              <w:rPr>
                <w:rFonts w:ascii="Arial" w:cs="Arial" w:eastAsia="Arial" w:hAnsi="Arial"/>
                <w:sz w:val="18"/>
                <w:szCs w:val="18"/>
                <w:b w:val="1"/>
                <w:bCs w:val="1"/>
                <w:color w:val="auto"/>
              </w:rPr>
              <w:t>Cost of revenue</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740</w:t>
            </w:r>
          </w:p>
        </w:tc>
        <w:tc>
          <w:tcPr>
            <w:tcW w:w="1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3,629</w:t>
            </w:r>
          </w:p>
        </w:tc>
        <w:tc>
          <w:tcPr>
            <w:tcW w:w="0" w:type="dxa"/>
            <w:vAlign w:val="bottom"/>
          </w:tcPr>
          <w:p>
            <w:pPr>
              <w:spacing w:after="0"/>
              <w:rPr>
                <w:sz w:val="1"/>
                <w:szCs w:val="1"/>
                <w:color w:val="auto"/>
              </w:rPr>
            </w:pPr>
          </w:p>
        </w:tc>
      </w:tr>
      <w:tr>
        <w:trPr>
          <w:trHeight w:val="223"/>
        </w:trPr>
        <w:tc>
          <w:tcPr>
            <w:tcW w:w="64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3,971</w:t>
            </w: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586</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331</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4,888</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Research and development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752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1,044</w:t>
            </w:r>
          </w:p>
        </w:tc>
        <w:tc>
          <w:tcPr>
            <w:tcW w:w="0" w:type="dxa"/>
            <w:vAlign w:val="bottom"/>
          </w:tcPr>
          <w:p>
            <w:pPr>
              <w:spacing w:after="0"/>
              <w:rPr>
                <w:sz w:val="1"/>
                <w:szCs w:val="1"/>
                <w:color w:val="auto"/>
              </w:rPr>
            </w:pPr>
          </w:p>
        </w:tc>
      </w:tr>
      <w:tr>
        <w:trPr>
          <w:trHeight w:val="230"/>
        </w:trPr>
        <w:tc>
          <w:tcPr>
            <w:tcW w:w="64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Selling, general and administrative</w:t>
            </w:r>
          </w:p>
        </w:tc>
        <w:tc>
          <w:tcPr>
            <w:tcW w:w="220" w:type="dxa"/>
            <w:vAlign w:val="bottom"/>
            <w:tcBorders>
              <w:bottom w:val="single" w:sz="8" w:color="auto"/>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688</w:t>
            </w:r>
          </w:p>
        </w:tc>
        <w:tc>
          <w:tcPr>
            <w:tcW w:w="6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208</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957</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Operating profit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2,531</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2,887</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9"/>
        </w:trPr>
        <w:tc>
          <w:tcPr>
            <w:tcW w:w="6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For Six Months Ended June 30, 2024</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6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Analog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Embedded</w:t>
            </w:r>
          </w:p>
        </w:tc>
        <w:tc>
          <w:tcPr>
            <w:tcW w:w="240" w:type="dxa"/>
            <w:vAlign w:val="bottom"/>
          </w:tcPr>
          <w:p>
            <w:pPr>
              <w:spacing w:after="0"/>
              <w:rPr>
                <w:sz w:val="12"/>
                <w:szCs w:val="12"/>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2"/>
                <w:szCs w:val="12"/>
                <w:color w:val="auto"/>
              </w:rPr>
            </w:pPr>
          </w:p>
        </w:tc>
        <w:tc>
          <w:tcPr>
            <w:tcW w:w="8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Processing</w:t>
            </w:r>
          </w:p>
        </w:tc>
        <w:tc>
          <w:tcPr>
            <w:tcW w:w="2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4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5,764</w:t>
            </w:r>
          </w:p>
        </w:tc>
        <w:tc>
          <w:tcPr>
            <w:tcW w:w="6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7,483</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23"/>
        </w:trPr>
        <w:tc>
          <w:tcPr>
            <w:tcW w:w="6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3,417</w:t>
            </w: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29"/>
        </w:trPr>
        <w:tc>
          <w:tcPr>
            <w:tcW w:w="6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653</w:t>
            </w: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Restructuring charges/other</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8"/>
        </w:trPr>
        <w:tc>
          <w:tcPr>
            <w:tcW w:w="64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Operating profit</w:t>
            </w: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2,055</w:t>
            </w:r>
          </w:p>
        </w:tc>
        <w:tc>
          <w:tcPr>
            <w:tcW w:w="60" w:type="dxa"/>
            <w:vAlign w:val="bottom"/>
            <w:tcBorders>
              <w:top w:val="single" w:sz="8" w:color="auto"/>
              <w:bottom w:val="single" w:sz="8" w:color="auto"/>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0"/>
        </w:trPr>
        <w:tc>
          <w:tcPr>
            <w:tcW w:w="644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 information</w:t>
      </w:r>
    </w:p>
    <w:p>
      <w:pPr>
        <w:spacing w:after="0" w:line="223" w:lineRule="exact"/>
        <w:rPr>
          <w:sz w:val="20"/>
          <w:szCs w:val="20"/>
          <w:color w:val="auto"/>
        </w:rPr>
      </w:pPr>
    </w:p>
    <w:p>
      <w:pPr>
        <w:ind w:right="300"/>
        <w:spacing w:after="0" w:line="279" w:lineRule="auto"/>
        <w:rPr>
          <w:sz w:val="20"/>
          <w:szCs w:val="20"/>
          <w:color w:val="auto"/>
        </w:rPr>
      </w:pPr>
      <w:r>
        <w:rPr>
          <w:rFonts w:ascii="Arial" w:cs="Arial" w:eastAsia="Arial" w:hAnsi="Arial"/>
          <w:sz w:val="18"/>
          <w:szCs w:val="18"/>
          <w:color w:val="auto"/>
        </w:rPr>
        <w:t>Our estimate for revenue based on the geographic location of our end customers’ headquarters, which represents where critical decisions are made,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For Three Months Ended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For Six Months Ended</w:t>
            </w:r>
          </w:p>
        </w:tc>
        <w:tc>
          <w:tcPr>
            <w:tcW w:w="66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96"/>
        </w:trPr>
        <w:tc>
          <w:tcPr>
            <w:tcW w:w="338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2025</w:t>
            </w: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7"/>
                <w:szCs w:val="17"/>
                <w:color w:val="auto"/>
              </w:rPr>
            </w:pPr>
          </w:p>
        </w:tc>
      </w:tr>
      <w:tr>
        <w:trPr>
          <w:trHeight w:val="211"/>
        </w:trPr>
        <w:tc>
          <w:tcPr>
            <w:tcW w:w="33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r>
      <w:tr>
        <w:trPr>
          <w:trHeight w:val="229"/>
        </w:trPr>
        <w:tc>
          <w:tcPr>
            <w:tcW w:w="33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1,707</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38 %</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3,225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38 %</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29"/>
        </w:trPr>
        <w:tc>
          <w:tcPr>
            <w:tcW w:w="33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China</w:t>
            </w:r>
          </w:p>
        </w:tc>
        <w:tc>
          <w:tcPr>
            <w:tcW w:w="24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985</w:t>
            </w:r>
          </w:p>
        </w:tc>
        <w:tc>
          <w:tcPr>
            <w:tcW w:w="10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68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1,811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00" w:type="dxa"/>
            <w:vAlign w:val="bottom"/>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1,368</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18</w:t>
            </w: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Rest of Asia</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487</w:t>
            </w:r>
          </w:p>
        </w:tc>
        <w:tc>
          <w:tcPr>
            <w:tcW w:w="100" w:type="dxa"/>
            <w:vAlign w:val="bottom"/>
          </w:tcPr>
          <w:p>
            <w:pPr>
              <w:spacing w:after="0"/>
              <w:rPr>
                <w:sz w:val="19"/>
                <w:szCs w:val="19"/>
                <w:color w:val="auto"/>
              </w:rPr>
            </w:pPr>
          </w:p>
        </w:tc>
        <w:tc>
          <w:tcPr>
            <w:tcW w:w="880" w:type="dxa"/>
            <w:vAlign w:val="bottom"/>
          </w:tcPr>
          <w:p>
            <w:pPr>
              <w:jc w:val="right"/>
              <w:ind w:right="154"/>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925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54"/>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11</w:t>
            </w:r>
          </w:p>
        </w:tc>
      </w:tr>
      <w:tr>
        <w:trPr>
          <w:trHeight w:val="229"/>
        </w:trPr>
        <w:tc>
          <w:tcPr>
            <w:tcW w:w="33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Europe, Middle East and Africa (a)</w:t>
            </w:r>
          </w:p>
        </w:tc>
        <w:tc>
          <w:tcPr>
            <w:tcW w:w="24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891</w:t>
            </w:r>
          </w:p>
        </w:tc>
        <w:tc>
          <w:tcPr>
            <w:tcW w:w="10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68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1,827</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00" w:type="dxa"/>
            <w:vAlign w:val="bottom"/>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1,853</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25</w:t>
            </w: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Japan</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295</w:t>
            </w:r>
          </w:p>
        </w:tc>
        <w:tc>
          <w:tcPr>
            <w:tcW w:w="100" w:type="dxa"/>
            <w:vAlign w:val="bottom"/>
          </w:tcPr>
          <w:p>
            <w:pPr>
              <w:spacing w:after="0"/>
              <w:rPr>
                <w:sz w:val="19"/>
                <w:szCs w:val="19"/>
                <w:color w:val="auto"/>
              </w:rPr>
            </w:pPr>
          </w:p>
        </w:tc>
        <w:tc>
          <w:tcPr>
            <w:tcW w:w="880" w:type="dxa"/>
            <w:vAlign w:val="bottom"/>
          </w:tcPr>
          <w:p>
            <w:pPr>
              <w:jc w:val="right"/>
              <w:ind w:right="154"/>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54"/>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8</w:t>
            </w:r>
          </w:p>
        </w:tc>
      </w:tr>
      <w:tr>
        <w:trPr>
          <w:trHeight w:val="229"/>
        </w:trPr>
        <w:tc>
          <w:tcPr>
            <w:tcW w:w="33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Rest of world</w:t>
            </w:r>
          </w:p>
        </w:tc>
        <w:tc>
          <w:tcPr>
            <w:tcW w:w="240" w:type="dxa"/>
            <w:vAlign w:val="bottom"/>
            <w:tcBorders>
              <w:bottom w:val="single" w:sz="8" w:color="auto"/>
            </w:tcBorders>
            <w:shd w:val="clear" w:color="auto" w:fill="DBDBDB"/>
          </w:tcPr>
          <w:p>
            <w:pPr>
              <w:spacing w:after="0"/>
              <w:rPr>
                <w:sz w:val="19"/>
                <w:szCs w:val="19"/>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83</w:t>
            </w:r>
          </w:p>
        </w:tc>
        <w:tc>
          <w:tcPr>
            <w:tcW w:w="100" w:type="dxa"/>
            <w:vAlign w:val="bottom"/>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68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159</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2</w:t>
            </w: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4,448</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8,517</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3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right="120" w:hanging="332"/>
        <w:spacing w:after="0" w:line="287" w:lineRule="auto"/>
        <w:tabs>
          <w:tab w:leader="none" w:pos="33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from end customers headquartered in Germany was 10% and 11% in the second quarters of 2025 and 2024, respectively, and 10% and 12% in the first six months of 2025 and 2024, respectively.</w:t>
      </w:r>
    </w:p>
    <w:p>
      <w:pPr>
        <w:spacing w:after="0" w:line="153"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(GAAP) and on the same basis as the audited financial statements included in our annual report on Form 10-K for the year ended December 31, 2024. The Consolidated Statements of Income, Comprehensive Income and Cash Flows for the periods ended June 30, 2025 and 2024, and the Consolidated Balance Sheet as of June 30, 2025,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2024. The results for the three- and six-month periods are not necessarily indicative of a full year’s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For Three Months Ended June 30,</w:t>
            </w: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EPS</w:t>
            </w:r>
          </w:p>
        </w:tc>
        <w:tc>
          <w:tcPr>
            <w:tcW w:w="14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EPS</w:t>
            </w:r>
          </w:p>
        </w:tc>
      </w:tr>
      <w:tr>
        <w:trPr>
          <w:trHeight w:val="224"/>
        </w:trPr>
        <w:tc>
          <w:tcPr>
            <w:tcW w:w="40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Basic EPS:</w:t>
            </w:r>
          </w:p>
        </w:tc>
        <w:tc>
          <w:tcPr>
            <w:tcW w:w="140" w:type="dxa"/>
            <w:vAlign w:val="bottom"/>
            <w:tcBorders>
              <w:top w:val="single" w:sz="8" w:color="auto"/>
            </w:tcBorders>
            <w:shd w:val="clear" w:color="auto" w:fill="DBDBDB"/>
          </w:tcPr>
          <w:p>
            <w:pPr>
              <w:spacing w:after="0"/>
              <w:rPr>
                <w:sz w:val="19"/>
                <w:szCs w:val="19"/>
                <w:color w:val="auto"/>
              </w:rPr>
            </w:pPr>
          </w:p>
        </w:tc>
        <w:tc>
          <w:tcPr>
            <w:tcW w:w="9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1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96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08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1,295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908</w:t>
            </w:r>
          </w:p>
        </w:tc>
        <w:tc>
          <w:tcPr>
            <w:tcW w:w="3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912</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0"/>
        </w:trPr>
        <w:tc>
          <w:tcPr>
            <w:tcW w:w="40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1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08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r>
      <w:tr>
        <w:trPr>
          <w:trHeight w:val="197"/>
        </w:trPr>
        <w:tc>
          <w:tcPr>
            <w:tcW w:w="4080" w:type="dxa"/>
            <w:vAlign w:val="bottom"/>
            <w:shd w:val="clear" w:color="auto" w:fill="DBDBDB"/>
          </w:tcPr>
          <w:p>
            <w:pPr>
              <w:ind w:left="140"/>
              <w:spacing w:after="0" w:line="196" w:lineRule="exact"/>
              <w:rPr>
                <w:sz w:val="20"/>
                <w:szCs w:val="20"/>
                <w:color w:val="auto"/>
              </w:rPr>
            </w:pPr>
            <w:r>
              <w:rPr>
                <w:rFonts w:ascii="Arial" w:cs="Arial" w:eastAsia="Arial" w:hAnsi="Arial"/>
                <w:sz w:val="18"/>
                <w:szCs w:val="18"/>
                <w:color w:val="auto"/>
              </w:rPr>
              <w:t>Dilutive effect of stock compensation plans</w:t>
            </w: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color w:val="auto"/>
              </w:rPr>
              <w:t>7</w:t>
            </w:r>
          </w:p>
        </w:tc>
        <w:tc>
          <w:tcPr>
            <w:tcW w:w="1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r>
      <w:tr>
        <w:trPr>
          <w:trHeight w:val="256"/>
        </w:trPr>
        <w:tc>
          <w:tcPr>
            <w:tcW w:w="4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0"/>
        </w:trPr>
        <w:tc>
          <w:tcPr>
            <w:tcW w:w="40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Diluted EPS:</w:t>
            </w: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1,295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1,288</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912</w:t>
            </w:r>
          </w:p>
        </w:tc>
        <w:tc>
          <w:tcPr>
            <w:tcW w:w="3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24"/>
        </w:trPr>
        <w:tc>
          <w:tcPr>
            <w:tcW w:w="4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For Six Months Ended June 30,</w:t>
            </w: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96"/>
        </w:trPr>
        <w:tc>
          <w:tcPr>
            <w:tcW w:w="4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EPS</w:t>
            </w:r>
          </w:p>
        </w:tc>
        <w:tc>
          <w:tcPr>
            <w:tcW w:w="14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EPS</w:t>
            </w:r>
          </w:p>
        </w:tc>
      </w:tr>
      <w:tr>
        <w:trPr>
          <w:trHeight w:val="211"/>
        </w:trPr>
        <w:tc>
          <w:tcPr>
            <w:tcW w:w="40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Basic EPS:</w:t>
            </w:r>
          </w:p>
        </w:tc>
        <w:tc>
          <w:tcPr>
            <w:tcW w:w="140" w:type="dxa"/>
            <w:vAlign w:val="bottom"/>
            <w:tcBorders>
              <w:top w:val="single" w:sz="8" w:color="auto"/>
            </w:tcBorders>
            <w:shd w:val="clear" w:color="auto" w:fill="DBDBDB"/>
          </w:tcPr>
          <w:p>
            <w:pPr>
              <w:spacing w:after="0"/>
              <w:rPr>
                <w:sz w:val="18"/>
                <w:szCs w:val="18"/>
                <w:color w:val="auto"/>
              </w:rPr>
            </w:pPr>
          </w:p>
        </w:tc>
        <w:tc>
          <w:tcPr>
            <w:tcW w:w="98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10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60" w:type="dxa"/>
            <w:vAlign w:val="bottom"/>
            <w:tcBorders>
              <w:top w:val="single" w:sz="8" w:color="auto"/>
            </w:tcBorders>
            <w:shd w:val="clear" w:color="auto" w:fill="DBDBDB"/>
          </w:tcPr>
          <w:p>
            <w:pPr>
              <w:spacing w:after="0"/>
              <w:rPr>
                <w:sz w:val="18"/>
                <w:szCs w:val="18"/>
                <w:color w:val="auto"/>
              </w:rPr>
            </w:pPr>
          </w:p>
        </w:tc>
        <w:tc>
          <w:tcPr>
            <w:tcW w:w="84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96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08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260" w:type="dxa"/>
            <w:vAlign w:val="bottom"/>
            <w:tcBorders>
              <w:top w:val="single" w:sz="8" w:color="auto"/>
            </w:tcBorders>
            <w:shd w:val="clear" w:color="auto" w:fill="DBDBDB"/>
          </w:tcPr>
          <w:p>
            <w:pPr>
              <w:spacing w:after="0"/>
              <w:rPr>
                <w:sz w:val="18"/>
                <w:szCs w:val="18"/>
                <w:color w:val="auto"/>
              </w:rPr>
            </w:pPr>
          </w:p>
        </w:tc>
        <w:tc>
          <w:tcPr>
            <w:tcW w:w="840" w:type="dxa"/>
            <w:vAlign w:val="bottom"/>
            <w:tcBorders>
              <w:top w:val="single" w:sz="8" w:color="auto"/>
            </w:tcBorders>
            <w:shd w:val="clear" w:color="auto" w:fill="DBDBDB"/>
          </w:tcPr>
          <w:p>
            <w:pPr>
              <w:spacing w:after="0"/>
              <w:rPr>
                <w:sz w:val="18"/>
                <w:szCs w:val="18"/>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2,474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2,232</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909</w:t>
            </w:r>
          </w:p>
        </w:tc>
        <w:tc>
          <w:tcPr>
            <w:tcW w:w="3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2.71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911</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0"/>
        </w:trPr>
        <w:tc>
          <w:tcPr>
            <w:tcW w:w="40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1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08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r>
      <w:tr>
        <w:trPr>
          <w:trHeight w:val="197"/>
        </w:trPr>
        <w:tc>
          <w:tcPr>
            <w:tcW w:w="4080" w:type="dxa"/>
            <w:vAlign w:val="bottom"/>
            <w:shd w:val="clear" w:color="auto" w:fill="DBDBDB"/>
          </w:tcPr>
          <w:p>
            <w:pPr>
              <w:ind w:left="140"/>
              <w:spacing w:after="0" w:line="196" w:lineRule="exact"/>
              <w:rPr>
                <w:sz w:val="20"/>
                <w:szCs w:val="20"/>
                <w:color w:val="auto"/>
              </w:rPr>
            </w:pPr>
            <w:r>
              <w:rPr>
                <w:rFonts w:ascii="Arial" w:cs="Arial" w:eastAsia="Arial" w:hAnsi="Arial"/>
                <w:sz w:val="18"/>
                <w:szCs w:val="18"/>
                <w:color w:val="auto"/>
              </w:rPr>
              <w:t>Dilutive effect of stock compensation plans</w:t>
            </w: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color w:val="auto"/>
              </w:rPr>
              <w:t>7</w:t>
            </w:r>
          </w:p>
        </w:tc>
        <w:tc>
          <w:tcPr>
            <w:tcW w:w="1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r>
      <w:tr>
        <w:trPr>
          <w:trHeight w:val="257"/>
        </w:trPr>
        <w:tc>
          <w:tcPr>
            <w:tcW w:w="4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0"/>
        </w:trPr>
        <w:tc>
          <w:tcPr>
            <w:tcW w:w="40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Diluted EPS:</w:t>
            </w: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2,474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2,232</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2,461</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914</w:t>
            </w:r>
          </w:p>
        </w:tc>
        <w:tc>
          <w:tcPr>
            <w:tcW w:w="3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2.69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1"/>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Potentially dilutive securities representing 12 million and 8 million shares of common stock that were outstanding during the second quarters of 2025 and 2024, respectively, and 12 million and 11 million shares outstanding during the first six months of 2025 and 2024, respectively, were excluded from the computation of diluted earnings per common share during these periods because their effect would have been anti-dilutive.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8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are exposed to variability in compensation charges related to certain deferred compensation obligations to employees. We use total return swaps to economically hedge this exposure and offset the related compensation expense, recognizing changes in the fair value of the swaps and the related deferred compensation liabilities in SG&amp;A.</w:t>
      </w:r>
    </w:p>
    <w:p>
      <w:pPr>
        <w:spacing w:after="0" w:line="171"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In connection with the issuance of long-term debt, we may use financial derivatives such as treasury-rate lock agreements that are recognized in AOCI and amortized over the life of the related debt.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these derivative transactions were not material. We do not use derivatives for speculative or trading purposes.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values of financial instruments</w:t>
      </w:r>
    </w:p>
    <w:p>
      <w:pPr>
        <w:spacing w:after="0" w:line="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fair values of our derivative financial instruments were not material as of June 30, 2025. Our investments in cash equivalents, short-term investments and certain long-term investments, as well as our deferred compensation liabilities, are carried at fair value. The carrying values for other current financial assets and liabilities, such as accounts receivable and accounts payable, approximate fair value due to the short maturity of such instruments. As of June 30, 2025, the carrying value of long-term debt was $14.04 billion, and the estimated fair value was $13.15 billion. The estimated fair value is measured using broker-dealer quotes, which are Level 2 inputs. See Note 4 for a description of fair value and the definition of Level 2 inputs.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 – standards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2023-09, Improvements to Income Tax Disclosures</w:t>
      </w:r>
    </w:p>
    <w:p>
      <w:pPr>
        <w:spacing w:after="0" w:line="25" w:lineRule="exact"/>
        <w:rPr>
          <w:sz w:val="20"/>
          <w:szCs w:val="20"/>
          <w:color w:val="auto"/>
        </w:rPr>
      </w:pPr>
    </w:p>
    <w:p>
      <w:pPr>
        <w:jc w:val="both"/>
        <w:ind w:right="360"/>
        <w:spacing w:after="0" w:line="258" w:lineRule="auto"/>
        <w:rPr>
          <w:sz w:val="20"/>
          <w:szCs w:val="20"/>
          <w:color w:val="auto"/>
        </w:rPr>
      </w:pPr>
      <w:r>
        <w:rPr>
          <w:rFonts w:ascii="Arial" w:cs="Arial" w:eastAsia="Arial" w:hAnsi="Arial"/>
          <w:sz w:val="18"/>
          <w:szCs w:val="18"/>
          <w:color w:val="auto"/>
        </w:rPr>
        <w:t>This standard requires disaggregated income tax disclosures on effective tax rate reconciliations and income taxes paid. ASU 2023-09 is effective for annual reporting periods beginning after December 15, 2024. As a result of adopting this guidance, certain of our income tax disclosures will be expanded.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2024-03, Disaggregation of Income Statement Expenses</w:t>
      </w:r>
    </w:p>
    <w:p>
      <w:pPr>
        <w:spacing w:after="0" w:line="25" w:lineRule="exact"/>
        <w:rPr>
          <w:sz w:val="20"/>
          <w:szCs w:val="20"/>
          <w:color w:val="auto"/>
        </w:rPr>
      </w:pPr>
    </w:p>
    <w:p>
      <w:pPr>
        <w:ind w:right="560"/>
        <w:spacing w:after="0" w:line="258" w:lineRule="auto"/>
        <w:rPr>
          <w:sz w:val="20"/>
          <w:szCs w:val="20"/>
          <w:color w:val="auto"/>
        </w:rPr>
      </w:pPr>
      <w:r>
        <w:rPr>
          <w:rFonts w:ascii="Arial" w:cs="Arial" w:eastAsia="Arial" w:hAnsi="Arial"/>
          <w:sz w:val="18"/>
          <w:szCs w:val="18"/>
          <w:color w:val="auto"/>
        </w:rPr>
        <w:t>This standard requires disaggregated disclosures of certain expense captions into specified categories in the notes to the financial statements. ASU 2024-03 is effective for annual reporting periods beginning after December 15, 2026. We are currently evaluating the potential impact of this standard on our financial statement disclosures.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is based on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5"/>
          </w:tcPr>
          <w:p>
            <w:pPr>
              <w:ind w:left="220"/>
              <w:spacing w:after="0"/>
              <w:rPr>
                <w:sz w:val="20"/>
                <w:szCs w:val="20"/>
                <w:color w:val="auto"/>
              </w:rPr>
            </w:pPr>
            <w:r>
              <w:rPr>
                <w:rFonts w:ascii="Arial" w:cs="Arial" w:eastAsia="Arial" w:hAnsi="Arial"/>
                <w:sz w:val="14"/>
                <w:szCs w:val="14"/>
                <w:b w:val="1"/>
                <w:bCs w:val="1"/>
                <w:color w:val="auto"/>
              </w:rPr>
              <w:t>For Three Months Ended</w:t>
            </w:r>
          </w:p>
        </w:tc>
        <w:tc>
          <w:tcPr>
            <w:tcW w:w="300" w:type="dxa"/>
            <w:vAlign w:val="bottom"/>
          </w:tcPr>
          <w:p>
            <w:pPr>
              <w:spacing w:after="0"/>
              <w:rPr>
                <w:sz w:val="17"/>
                <w:szCs w:val="17"/>
                <w:color w:val="auto"/>
              </w:rPr>
            </w:pPr>
          </w:p>
        </w:tc>
        <w:tc>
          <w:tcPr>
            <w:tcW w:w="242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For Six Months Ended</w:t>
            </w:r>
          </w:p>
        </w:tc>
      </w:tr>
      <w:tr>
        <w:trPr>
          <w:trHeight w:val="204"/>
        </w:trPr>
        <w:tc>
          <w:tcPr>
            <w:tcW w:w="5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r>
      <w:tr>
        <w:trPr>
          <w:trHeight w:val="196"/>
        </w:trPr>
        <w:tc>
          <w:tcPr>
            <w:tcW w:w="568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2024</w:t>
            </w:r>
          </w:p>
        </w:tc>
      </w:tr>
      <w:tr>
        <w:trPr>
          <w:trHeight w:val="224"/>
        </w:trPr>
        <w:tc>
          <w:tcPr>
            <w:tcW w:w="5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Taxes calculated using the estimated annual effective tax rate</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199</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ind w:right="154"/>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365</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BDBDB"/>
          </w:tcPr>
          <w:p>
            <w:pPr>
              <w:jc w:val="right"/>
              <w:ind w:right="154"/>
              <w:spacing w:after="0"/>
              <w:rPr>
                <w:sz w:val="20"/>
                <w:szCs w:val="20"/>
                <w:color w:val="auto"/>
              </w:rPr>
            </w:pPr>
            <w:r>
              <w:rPr>
                <w:rFonts w:ascii="Arial" w:cs="Arial" w:eastAsia="Arial" w:hAnsi="Arial"/>
                <w:sz w:val="18"/>
                <w:szCs w:val="18"/>
                <w:color w:val="auto"/>
              </w:rPr>
              <w:t>346</w:t>
            </w:r>
          </w:p>
        </w:tc>
      </w:tr>
      <w:tr>
        <w:trPr>
          <w:trHeight w:val="230"/>
        </w:trPr>
        <w:tc>
          <w:tcPr>
            <w:tcW w:w="56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Discrete tax items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rPr>
              <w:t>(85)</w:t>
            </w:r>
          </w:p>
        </w:tc>
        <w:tc>
          <w:tcPr>
            <w:tcW w:w="12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(38)</w:t>
            </w:r>
          </w:p>
        </w:tc>
      </w:tr>
      <w:tr>
        <w:trPr>
          <w:trHeight w:val="248"/>
        </w:trPr>
        <w:tc>
          <w:tcPr>
            <w:tcW w:w="5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183</w:t>
            </w:r>
          </w:p>
        </w:tc>
        <w:tc>
          <w:tcPr>
            <w:tcW w:w="12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BDBDB"/>
          </w:tcPr>
          <w:p>
            <w:pPr>
              <w:jc w:val="right"/>
              <w:ind w:right="154"/>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280</w:t>
            </w:r>
          </w:p>
        </w:tc>
        <w:tc>
          <w:tcPr>
            <w:tcW w:w="12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DBDBDB"/>
          </w:tcPr>
          <w:p>
            <w:pPr>
              <w:jc w:val="right"/>
              <w:ind w:right="154"/>
              <w:spacing w:after="0"/>
              <w:rPr>
                <w:sz w:val="20"/>
                <w:szCs w:val="20"/>
                <w:color w:val="auto"/>
              </w:rPr>
            </w:pPr>
            <w:r>
              <w:rPr>
                <w:rFonts w:ascii="Arial" w:cs="Arial" w:eastAsia="Arial" w:hAnsi="Arial"/>
                <w:sz w:val="18"/>
                <w:szCs w:val="18"/>
                <w:color w:val="auto"/>
              </w:rPr>
              <w:t>308</w:t>
            </w:r>
          </w:p>
        </w:tc>
      </w:tr>
      <w:tr>
        <w:trPr>
          <w:trHeight w:val="20"/>
        </w:trPr>
        <w:tc>
          <w:tcPr>
            <w:tcW w:w="568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5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29"/>
        </w:trPr>
        <w:tc>
          <w:tcPr>
            <w:tcW w:w="5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Effective tax rate</w:t>
            </w:r>
          </w:p>
        </w:tc>
        <w:tc>
          <w:tcPr>
            <w:tcW w:w="3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12 %</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10 %</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12 %</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differs from the 21% U.S. statutory corporate tax rate due to the effect of U.S. tax benefits.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July 4, 2025, the U.S. government enacted the One Big Beautiful Bill Act (OBBBA). The OBBBA provides changes to U.S. federal tax law, including expensing of U.S. research expenditures and eligible capital expenditures, increasing the U.S. CHIPS Act investment tax credit and changing other tax provisions. The effects of the new law are not reflected in the consolidated financial statements as of and for the period ended June 30, 2025 because the legislation was enacted in July. We are currently evaluating the effect of the legislation on our financial statements.</w:t>
      </w:r>
    </w:p>
    <w:p>
      <w:pPr>
        <w:spacing w:after="0" w:line="179"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measured at fair value</w:t>
      </w:r>
    </w:p>
    <w:p>
      <w:pPr>
        <w:spacing w:after="0" w:line="22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Money market funds, debt investments and mutual funds are stated at fair value, which is generally based on market prices or broker quotes. We classify all debt investments as available-for-sale. See </w:t>
      </w:r>
      <w:r>
        <w:rPr>
          <w:rFonts w:ascii="Arial" w:cs="Arial" w:eastAsia="Arial" w:hAnsi="Arial"/>
          <w:sz w:val="18"/>
          <w:szCs w:val="18"/>
          <w:i w:val="1"/>
          <w:iCs w:val="1"/>
          <w:color w:val="auto"/>
        </w:rPr>
        <w:t>Fair-value considerations</w:t>
      </w:r>
      <w:r>
        <w:rPr>
          <w:rFonts w:ascii="Arial" w:cs="Arial" w:eastAsia="Arial" w:hAnsi="Arial"/>
          <w:sz w:val="18"/>
          <w:szCs w:val="18"/>
          <w:color w:val="auto"/>
        </w:rPr>
        <w:t>. Unrealized gains and losses are recorded as an increase or decrease, net of taxes, in AOCI on our Consolidated Balance Sheets, and any credit losses are recorded as an allowance for credit losses with an offset recognized in OI&amp;E in our Consolidated Statements of Income.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investments</w:t>
      </w:r>
    </w:p>
    <w:p>
      <w:pPr>
        <w:spacing w:after="0" w:line="22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Our other investments include equity-method investments and nonmarketable investments, which are not measured at fair value. These investments consist of interests in venture capital funds and other nonmarketable securities. Gains and losses from equity-method investments are recognized in OI&amp;E based on our ownership share of the investee’s financial results. Nonmarketable securities are measured at cost with adjustments for observable changes in price or impairments. Gains and losses on nonmarketable investments are recognized in OI&amp;E.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June 30, 2025</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60" w:type="dxa"/>
            <w:vAlign w:val="bottom"/>
          </w:tcPr>
          <w:p>
            <w:pPr>
              <w:spacing w:after="0"/>
              <w:rPr>
                <w:sz w:val="12"/>
                <w:szCs w:val="12"/>
                <w:color w:val="auto"/>
              </w:rPr>
            </w:pPr>
          </w:p>
        </w:tc>
        <w:tc>
          <w:tcPr>
            <w:tcW w:w="128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rPr>
              <w:t>Cash and Cash</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Long-Term</w:t>
            </w:r>
          </w:p>
        </w:tc>
        <w:tc>
          <w:tcPr>
            <w:tcW w:w="118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Cash and Cash</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2"/>
                <w:szCs w:val="12"/>
                <w:color w:val="auto"/>
              </w:rPr>
            </w:pPr>
          </w:p>
        </w:tc>
        <w:tc>
          <w:tcPr>
            <w:tcW w:w="1040" w:type="dxa"/>
            <w:vAlign w:val="bottom"/>
          </w:tcPr>
          <w:p>
            <w:pPr>
              <w:jc w:val="right"/>
              <w:ind w:right="133"/>
              <w:spacing w:after="0" w:line="147"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Equivalents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6"/>
                <w:szCs w:val="16"/>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b w:val="1"/>
                <w:bCs w:val="1"/>
                <w:color w:val="auto"/>
              </w:rPr>
              <w:t>Equivalents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36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Measured at fair value:</w:t>
            </w: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682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502</w:t>
            </w: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623</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66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rPr>
              <w:t>Non-U.S. government and agency</w:t>
            </w:r>
          </w:p>
        </w:tc>
        <w:tc>
          <w:tcPr>
            <w:tcW w:w="14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149</w:t>
            </w:r>
          </w:p>
        </w:tc>
        <w:tc>
          <w:tcPr>
            <w:tcW w:w="1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99</w:t>
            </w:r>
          </w:p>
        </w:tc>
        <w:tc>
          <w:tcPr>
            <w:tcW w:w="1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140" w:type="dxa"/>
            <w:vAlign w:val="bottom"/>
            <w:gridSpan w:val="2"/>
            <w:vMerge w:val="continue"/>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6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2,667</w:t>
            </w:r>
          </w:p>
        </w:tc>
        <w:tc>
          <w:tcPr>
            <w:tcW w:w="12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2,315</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2,457</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4,380</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3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Other measurement basis: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Equity-method investments</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Nonmarketable investments</w:t>
            </w: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1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366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02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04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04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102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04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04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Cash on hand</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6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3,044</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2,315</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4,380</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66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As of June 30, 2025, and December 31, 2024, unrealized gains and losses associated with our debt investments were not material. We did not recognize any credit losses related to debt investments for the first six months of 2025 and 2024.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our debt investments as of June 30, 2025:</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76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9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One year or less</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3,750</w:t>
            </w:r>
          </w:p>
        </w:tc>
      </w:tr>
      <w:tr>
        <w:trPr>
          <w:trHeight w:val="239"/>
        </w:trPr>
        <w:tc>
          <w:tcPr>
            <w:tcW w:w="9760" w:type="dxa"/>
            <w:vAlign w:val="bottom"/>
          </w:tcPr>
          <w:p>
            <w:pPr>
              <w:ind w:left="20"/>
              <w:spacing w:after="0"/>
              <w:rPr>
                <w:sz w:val="20"/>
                <w:szCs w:val="20"/>
                <w:color w:val="auto"/>
              </w:rPr>
            </w:pPr>
            <w:r>
              <w:rPr>
                <w:rFonts w:ascii="Arial" w:cs="Arial" w:eastAsia="Arial" w:hAnsi="Arial"/>
                <w:sz w:val="18"/>
                <w:szCs w:val="18"/>
                <w:color w:val="auto"/>
              </w:rPr>
              <w:t>One to two years</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550</w:t>
            </w:r>
          </w:p>
        </w:tc>
      </w:tr>
    </w:tbl>
    <w:p>
      <w:pPr>
        <w:spacing w:after="0" w:line="26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Proceeds from sales, redemptions and maturities of short-term debt investments were $1.13 billion and $3.13 billion for the second quarters of 2025 and 2024, respectively, and $3.94 billion and $5.76 billion for the first six months of 2025 and 2024, respectively. Gross realized gains and losses from these sales were not material.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23"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in an orderly transaction between market participants on the measurement date.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described below indicates the inputs used to estimate fair-value measurements.</w:t>
      </w:r>
    </w:p>
    <w:p>
      <w:pPr>
        <w:spacing w:after="0" w:line="225" w:lineRule="exact"/>
        <w:rPr>
          <w:sz w:val="20"/>
          <w:szCs w:val="20"/>
          <w:color w:val="auto"/>
        </w:rPr>
      </w:pPr>
    </w:p>
    <w:p>
      <w:pPr>
        <w:ind w:left="620" w:right="180" w:hanging="329"/>
        <w:spacing w:after="0" w:line="287" w:lineRule="auto"/>
        <w:tabs>
          <w:tab w:leader="none" w:pos="61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Uses unadjusted quoted prices that are available in active markets for identical assets or liabilities as of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44" w:lineRule="exact"/>
        <w:rPr>
          <w:rFonts w:ascii="Arial" w:cs="Arial" w:eastAsia="Arial" w:hAnsi="Arial"/>
          <w:sz w:val="18"/>
          <w:szCs w:val="18"/>
          <w:color w:val="auto"/>
        </w:rPr>
      </w:pPr>
    </w:p>
    <w:p>
      <w:pPr>
        <w:ind w:left="620" w:right="140" w:hanging="329"/>
        <w:spacing w:after="0" w:line="262" w:lineRule="auto"/>
        <w:tabs>
          <w:tab w:leader="none" w:pos="61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Uses inputs other than Level 1 that are either directly or indirectly observable as of the measurement date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correlation with market data. Inputs include quoted prices for similar assets and liabilities in active markets, quoted prices in markets that are not active and models or other pricing methodologies that do not require significant judgment. We utilize a third-party data service to provide Level 2 valuations, and we verify these valuations for reasonableness.</w:t>
      </w:r>
    </w:p>
    <w:p>
      <w:pPr>
        <w:spacing w:after="0" w:line="68" w:lineRule="exact"/>
        <w:rPr>
          <w:rFonts w:ascii="Arial" w:cs="Arial" w:eastAsia="Arial" w:hAnsi="Arial"/>
          <w:sz w:val="18"/>
          <w:szCs w:val="18"/>
          <w:color w:val="auto"/>
        </w:rPr>
      </w:pPr>
    </w:p>
    <w:p>
      <w:pPr>
        <w:ind w:left="620" w:right="260" w:hanging="329"/>
        <w:spacing w:after="0" w:line="287" w:lineRule="auto"/>
        <w:tabs>
          <w:tab w:leader="none" w:pos="61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Uses inputs that are unobservable, supported by little or no market activity and reflect the use of significant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As of June 30, 2025, and December 31, 2024, we had no Level 3 assets or liabilities.</w:t>
      </w:r>
    </w:p>
    <w:p>
      <w:pPr>
        <w:spacing w:after="0" w:line="153"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June 30, 2025</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4"/>
                <w:szCs w:val="14"/>
                <w:b w:val="1"/>
                <w:bCs w:val="1"/>
                <w:color w:val="auto"/>
              </w:rPr>
              <w:t>December 31, 2024</w:t>
            </w:r>
          </w:p>
        </w:tc>
        <w:tc>
          <w:tcPr>
            <w:tcW w:w="780" w:type="dxa"/>
            <w:vAlign w:val="bottom"/>
            <w:tcBorders>
              <w:bottom w:val="single" w:sz="8" w:color="auto"/>
            </w:tcBorders>
          </w:tcPr>
          <w:p>
            <w:pPr>
              <w:spacing w:after="0"/>
              <w:rPr>
                <w:sz w:val="17"/>
                <w:szCs w:val="17"/>
                <w:color w:val="auto"/>
              </w:rPr>
            </w:pPr>
          </w:p>
        </w:tc>
      </w:tr>
      <w:tr>
        <w:trPr>
          <w:trHeight w:val="196"/>
        </w:trPr>
        <w:tc>
          <w:tcPr>
            <w:tcW w:w="4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r>
      <w:tr>
        <w:trPr>
          <w:trHeight w:val="224"/>
        </w:trPr>
        <w:tc>
          <w:tcPr>
            <w:tcW w:w="47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DBDBDB"/>
          </w:tcPr>
          <w:p>
            <w:pPr>
              <w:spacing w:after="0"/>
              <w:rPr>
                <w:sz w:val="19"/>
                <w:szCs w:val="19"/>
                <w:color w:val="auto"/>
              </w:rPr>
            </w:pPr>
          </w:p>
        </w:tc>
        <w:tc>
          <w:tcPr>
            <w:tcW w:w="80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8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7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760" w:type="dxa"/>
            <w:vAlign w:val="bottom"/>
            <w:tcBorders>
              <w:top w:val="single" w:sz="8" w:color="auto"/>
            </w:tcBorders>
            <w:shd w:val="clear" w:color="auto" w:fill="DBDBDB"/>
          </w:tcPr>
          <w:p>
            <w:pPr>
              <w:spacing w:after="0"/>
              <w:rPr>
                <w:sz w:val="19"/>
                <w:szCs w:val="19"/>
                <w:color w:val="auto"/>
              </w:rPr>
            </w:pPr>
          </w:p>
        </w:tc>
        <w:tc>
          <w:tcPr>
            <w:tcW w:w="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8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780" w:type="dxa"/>
            <w:vAlign w:val="bottom"/>
            <w:tcBorders>
              <w:top w:val="single" w:sz="8" w:color="auto"/>
            </w:tcBorders>
            <w:shd w:val="clear" w:color="auto" w:fill="DBDBDB"/>
          </w:tcPr>
          <w:p>
            <w:pPr>
              <w:spacing w:after="0"/>
              <w:rPr>
                <w:sz w:val="19"/>
                <w:szCs w:val="19"/>
                <w:color w:val="auto"/>
              </w:rPr>
            </w:pP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682</w:t>
            </w:r>
          </w:p>
        </w:tc>
        <w:tc>
          <w:tcPr>
            <w:tcW w:w="12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762</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762</w:t>
            </w:r>
          </w:p>
        </w:tc>
      </w:tr>
      <w:tr>
        <w:trPr>
          <w:trHeight w:val="229"/>
        </w:trPr>
        <w:tc>
          <w:tcPr>
            <w:tcW w:w="47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18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1,125</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1,125</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1,490</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1,490</w:t>
            </w: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2,130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2,927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4,237</w:t>
            </w:r>
          </w:p>
        </w:tc>
      </w:tr>
      <w:tr>
        <w:trPr>
          <w:trHeight w:val="229"/>
        </w:trPr>
        <w:tc>
          <w:tcPr>
            <w:tcW w:w="47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Non-U.S. government and agency securities</w:t>
            </w:r>
          </w:p>
        </w:tc>
        <w:tc>
          <w:tcPr>
            <w:tcW w:w="18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248</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348</w:t>
            </w: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47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2,823</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2,170</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4,993</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3,364</w:t>
            </w:r>
          </w:p>
        </w:tc>
        <w:tc>
          <w:tcPr>
            <w:tcW w:w="40" w:type="dxa"/>
            <w:vAlign w:val="bottom"/>
            <w:tcBorders>
              <w:top w:val="single" w:sz="8" w:color="auto"/>
              <w:bottom w:val="single" w:sz="8" w:color="auto"/>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3,484</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6,848</w:t>
            </w:r>
          </w:p>
        </w:tc>
      </w:tr>
      <w:tr>
        <w:trPr>
          <w:trHeight w:val="20"/>
        </w:trPr>
        <w:tc>
          <w:tcPr>
            <w:tcW w:w="47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4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29"/>
        </w:trPr>
        <w:tc>
          <w:tcPr>
            <w:tcW w:w="47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445</w:t>
            </w:r>
          </w:p>
        </w:tc>
        <w:tc>
          <w:tcPr>
            <w:tcW w:w="12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445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443</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48"/>
        </w:trPr>
        <w:tc>
          <w:tcPr>
            <w:tcW w:w="47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445</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445</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443</w:t>
            </w:r>
          </w:p>
        </w:tc>
        <w:tc>
          <w:tcPr>
            <w:tcW w:w="40" w:type="dxa"/>
            <w:vAlign w:val="bottom"/>
            <w:tcBorders>
              <w:top w:val="single" w:sz="8" w:color="auto"/>
              <w:bottom w:val="single" w:sz="8" w:color="auto"/>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443</w:t>
            </w:r>
          </w:p>
        </w:tc>
      </w:tr>
      <w:tr>
        <w:trPr>
          <w:trHeight w:val="20"/>
        </w:trPr>
        <w:tc>
          <w:tcPr>
            <w:tcW w:w="47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r>
      <w:tr>
        <w:trPr>
          <w:trHeight w:val="842"/>
        </w:trPr>
        <w:tc>
          <w:tcPr>
            <w:tcW w:w="4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1"/>
        </w:trPr>
        <w:tc>
          <w:tcPr>
            <w:tcW w:w="47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Expenses related to defined benefit and retiree health care benefit plans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U.S. Defined Benefit</w:t>
            </w: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U.S. Retiree Health Care</w:t>
            </w:r>
          </w:p>
        </w:tc>
        <w:tc>
          <w:tcPr>
            <w:tcW w:w="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rPr>
              <w:t>Non-U.S. Defined Benefit</w:t>
            </w:r>
          </w:p>
        </w:tc>
      </w:tr>
      <w:tr>
        <w:trPr>
          <w:trHeight w:val="197"/>
        </w:trPr>
        <w:tc>
          <w:tcPr>
            <w:tcW w:w="41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For Three Months Ended June 30,</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DBDBDB"/>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2024</w:t>
            </w:r>
          </w:p>
        </w:tc>
      </w:tr>
      <w:tr>
        <w:trPr>
          <w:trHeight w:val="224"/>
        </w:trPr>
        <w:tc>
          <w:tcPr>
            <w:tcW w:w="4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DBDBDB"/>
          </w:tcPr>
          <w:p>
            <w:pPr>
              <w:spacing w:after="0"/>
              <w:rPr>
                <w:sz w:val="19"/>
                <w:szCs w:val="19"/>
                <w:color w:val="auto"/>
              </w:rPr>
            </w:pPr>
          </w:p>
        </w:tc>
        <w:tc>
          <w:tcPr>
            <w:tcW w:w="740" w:type="dxa"/>
            <w:vAlign w:val="bottom"/>
            <w:shd w:val="clear" w:color="auto" w:fill="DBDBDB"/>
          </w:tcPr>
          <w:p>
            <w:pPr>
              <w:jc w:val="right"/>
              <w:ind w:right="53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jc w:val="right"/>
              <w:ind w:right="559"/>
              <w:spacing w:after="0"/>
              <w:rPr>
                <w:sz w:val="20"/>
                <w:szCs w:val="20"/>
                <w:color w:val="auto"/>
              </w:rPr>
            </w:pPr>
            <w:r>
              <w:rPr>
                <w:rFonts w:ascii="Arial" w:cs="Arial" w:eastAsia="Arial" w:hAnsi="Arial"/>
                <w:sz w:val="18"/>
                <w:szCs w:val="18"/>
                <w:b w:val="1"/>
                <w:bCs w:val="1"/>
                <w:color w:val="auto"/>
                <w:w w:val="99"/>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800" w:type="dxa"/>
            <w:vAlign w:val="bottom"/>
            <w:shd w:val="clear" w:color="auto" w:fill="DBDBDB"/>
          </w:tcPr>
          <w:p>
            <w:pPr>
              <w:jc w:val="right"/>
              <w:ind w:right="596"/>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4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Recognized net actuarial losses (gains)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41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periodic benefit costs (credits)</w:t>
            </w:r>
          </w:p>
        </w:tc>
        <w:tc>
          <w:tcPr>
            <w:tcW w:w="260" w:type="dxa"/>
            <w:vAlign w:val="bottom"/>
            <w:tcBorders>
              <w:top w:val="single" w:sz="8" w:color="auto"/>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top w:val="single" w:sz="8" w:color="DBDBDB"/>
            </w:tcBorders>
            <w:shd w:val="clear" w:color="auto" w:fill="DBDBDB"/>
          </w:tcPr>
          <w:p>
            <w:pPr>
              <w:spacing w:after="0"/>
              <w:rPr>
                <w:sz w:val="19"/>
                <w:szCs w:val="19"/>
                <w:color w:val="auto"/>
              </w:rPr>
            </w:pPr>
          </w:p>
        </w:tc>
        <w:tc>
          <w:tcPr>
            <w:tcW w:w="740" w:type="dxa"/>
            <w:vAlign w:val="bottom"/>
            <w:tcBorders>
              <w:top w:val="single" w:sz="8" w:color="auto"/>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DBDBDB"/>
            </w:tcBorders>
            <w:shd w:val="clear" w:color="auto" w:fill="DBDBDB"/>
          </w:tcPr>
          <w:p>
            <w:pPr>
              <w:spacing w:after="0"/>
              <w:rPr>
                <w:sz w:val="19"/>
                <w:szCs w:val="19"/>
                <w:color w:val="auto"/>
              </w:rPr>
            </w:pPr>
          </w:p>
        </w:tc>
        <w:tc>
          <w:tcPr>
            <w:tcW w:w="760" w:type="dxa"/>
            <w:vAlign w:val="bottom"/>
            <w:tcBorders>
              <w:top w:val="single" w:sz="8" w:color="auto"/>
            </w:tcBorders>
            <w:shd w:val="clear" w:color="auto" w:fill="DBDBDB"/>
          </w:tcPr>
          <w:p>
            <w:pPr>
              <w:spacing w:after="0"/>
              <w:rPr>
                <w:sz w:val="19"/>
                <w:szCs w:val="19"/>
                <w:color w:val="auto"/>
              </w:rPr>
            </w:pPr>
          </w:p>
        </w:tc>
        <w:tc>
          <w:tcPr>
            <w:tcW w:w="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800" w:type="dxa"/>
            <w:vAlign w:val="bottom"/>
            <w:tcBorders>
              <w:top w:val="single" w:sz="8" w:color="auto"/>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Settlement losses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1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including other postretirement losses (gains)</w:t>
            </w: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740" w:type="dxa"/>
            <w:vAlign w:val="bottom"/>
            <w:tcBorders>
              <w:top w:val="single" w:sz="8" w:color="auto"/>
              <w:bottom w:val="single" w:sz="8" w:color="auto"/>
            </w:tcBorders>
            <w:shd w:val="clear" w:color="auto" w:fill="DBDBDB"/>
          </w:tcPr>
          <w:p>
            <w:pPr>
              <w:jc w:val="right"/>
              <w:ind w:right="53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760" w:type="dxa"/>
            <w:vAlign w:val="bottom"/>
            <w:tcBorders>
              <w:top w:val="single" w:sz="8" w:color="auto"/>
              <w:bottom w:val="single" w:sz="8" w:color="auto"/>
            </w:tcBorders>
            <w:shd w:val="clear" w:color="auto" w:fill="DBDBDB"/>
          </w:tcPr>
          <w:p>
            <w:pPr>
              <w:jc w:val="right"/>
              <w:ind w:right="559"/>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800" w:type="dxa"/>
            <w:vAlign w:val="bottom"/>
            <w:tcBorders>
              <w:top w:val="single" w:sz="8" w:color="auto"/>
              <w:bottom w:val="single" w:sz="8" w:color="auto"/>
            </w:tcBorders>
            <w:shd w:val="clear" w:color="auto" w:fill="DBDBDB"/>
          </w:tcPr>
          <w:p>
            <w:pPr>
              <w:jc w:val="right"/>
              <w:ind w:right="59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gridSpan w:val="2"/>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DBDBDB"/>
              <w:bottom w:val="single" w:sz="8" w:color="auto"/>
            </w:tcBorders>
            <w:gridSpan w:val="2"/>
          </w:tcPr>
          <w:p>
            <w:pPr>
              <w:spacing w:after="0" w:line="20" w:lineRule="exact"/>
              <w:rPr>
                <w:sz w:val="1"/>
                <w:szCs w:val="1"/>
                <w:color w:val="auto"/>
              </w:rPr>
            </w:pPr>
          </w:p>
        </w:tc>
      </w:tr>
      <w:tr>
        <w:trPr>
          <w:trHeight w:val="363"/>
        </w:trPr>
        <w:tc>
          <w:tcPr>
            <w:tcW w:w="4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U.S. Defined Benefit</w:t>
            </w:r>
          </w:p>
        </w:tc>
        <w:tc>
          <w:tcPr>
            <w:tcW w:w="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U.S. Retiree Health Care</w:t>
            </w:r>
          </w:p>
        </w:tc>
        <w:tc>
          <w:tcPr>
            <w:tcW w:w="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rPr>
              <w:t>Non-U.S. Defined Benefit</w:t>
            </w:r>
          </w:p>
        </w:tc>
      </w:tr>
      <w:tr>
        <w:trPr>
          <w:trHeight w:val="197"/>
        </w:trPr>
        <w:tc>
          <w:tcPr>
            <w:tcW w:w="41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For Six Months Ended June 30,</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DBDBDB"/>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2024</w:t>
            </w:r>
          </w:p>
        </w:tc>
      </w:tr>
      <w:tr>
        <w:trPr>
          <w:trHeight w:val="224"/>
        </w:trPr>
        <w:tc>
          <w:tcPr>
            <w:tcW w:w="4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DBDBDB"/>
          </w:tcPr>
          <w:p>
            <w:pPr>
              <w:spacing w:after="0"/>
              <w:rPr>
                <w:sz w:val="19"/>
                <w:szCs w:val="19"/>
                <w:color w:val="auto"/>
              </w:rPr>
            </w:pPr>
          </w:p>
        </w:tc>
        <w:tc>
          <w:tcPr>
            <w:tcW w:w="740" w:type="dxa"/>
            <w:vAlign w:val="bottom"/>
            <w:shd w:val="clear" w:color="auto" w:fill="DBDBDB"/>
          </w:tcPr>
          <w:p>
            <w:pPr>
              <w:jc w:val="right"/>
              <w:ind w:right="53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jc w:val="right"/>
              <w:ind w:right="559"/>
              <w:spacing w:after="0"/>
              <w:rPr>
                <w:sz w:val="20"/>
                <w:szCs w:val="20"/>
                <w:color w:val="auto"/>
              </w:rPr>
            </w:pPr>
            <w:r>
              <w:rPr>
                <w:rFonts w:ascii="Arial" w:cs="Arial" w:eastAsia="Arial" w:hAnsi="Arial"/>
                <w:sz w:val="18"/>
                <w:szCs w:val="18"/>
                <w:b w:val="1"/>
                <w:bCs w:val="1"/>
                <w:color w:val="auto"/>
                <w:w w:val="99"/>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800" w:type="dxa"/>
            <w:vAlign w:val="bottom"/>
            <w:shd w:val="clear" w:color="auto" w:fill="DBDBDB"/>
          </w:tcPr>
          <w:p>
            <w:pPr>
              <w:jc w:val="right"/>
              <w:ind w:right="596"/>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4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(11)</w:t>
            </w: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41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Recognized net actuarial losses (gains)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DBDBDB"/>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DBDBDB"/>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DBDBDB"/>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4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periodic benefit costs (credits)</w:t>
            </w: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Settlement losses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1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including other postretirement losses (gains)</w:t>
            </w: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740" w:type="dxa"/>
            <w:vAlign w:val="bottom"/>
            <w:tcBorders>
              <w:top w:val="single" w:sz="8" w:color="auto"/>
              <w:bottom w:val="single" w:sz="8" w:color="auto"/>
            </w:tcBorders>
            <w:shd w:val="clear" w:color="auto" w:fill="DBDBDB"/>
          </w:tcPr>
          <w:p>
            <w:pPr>
              <w:jc w:val="right"/>
              <w:ind w:right="53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760" w:type="dxa"/>
            <w:vAlign w:val="bottom"/>
            <w:tcBorders>
              <w:top w:val="single" w:sz="8" w:color="auto"/>
              <w:bottom w:val="single" w:sz="8" w:color="auto"/>
            </w:tcBorders>
            <w:shd w:val="clear" w:color="auto" w:fill="DBDBDB"/>
          </w:tcPr>
          <w:p>
            <w:pPr>
              <w:jc w:val="right"/>
              <w:ind w:right="559"/>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800" w:type="dxa"/>
            <w:vAlign w:val="bottom"/>
            <w:tcBorders>
              <w:top w:val="single" w:sz="8" w:color="auto"/>
              <w:bottom w:val="single" w:sz="8" w:color="auto"/>
            </w:tcBorders>
            <w:shd w:val="clear" w:color="auto" w:fill="DBDBDB"/>
          </w:tcPr>
          <w:p>
            <w:pPr>
              <w:jc w:val="right"/>
              <w:ind w:right="59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u w:val="single" w:color="auto"/>
          <w:color w:val="auto"/>
        </w:rPr>
        <w:t>Debt and lines of credit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maintain a line of credit to provide additional liquidity through bank loans and, if necessary, to support commercial paper borrowings. As of June 30, 2025, the aforementioned line of credit was a variable-rate, revolving credit facility from a consortium of investment-grade banks that allows us to borrow up to $1 billion until March 2026. The interest rate on borrowings under this credit facility, if drawn, is indexed to the applicable Term Secured Overnight Financing Rate (Term SOFR). As of June 30, 2025, our credit facility was undrawn, and we had no commercial paper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May 2025, we issued two series of senior unsecured notes for an aggregate principal amount of $1.20 billion, consisting of $550 million of 4.50% notes due in 2030 and $650 million of 5.10% notes due in 2035. We incurred $6 million of issuance and other related costs. The proceeds of the offering were $1.20 billion, net of the original issuance discounts, which will be used for general corporate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March 2025, we retired $750 million of maturing debt.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7"/>
                <w:szCs w:val="17"/>
                <w:color w:val="auto"/>
              </w:rPr>
            </w:pPr>
          </w:p>
        </w:tc>
        <w:tc>
          <w:tcPr>
            <w:tcW w:w="1220" w:type="dxa"/>
            <w:vAlign w:val="bottom"/>
          </w:tcPr>
          <w:p>
            <w:pPr>
              <w:jc w:val="right"/>
              <w:ind w:right="151"/>
              <w:spacing w:after="0"/>
              <w:rPr>
                <w:sz w:val="20"/>
                <w:szCs w:val="20"/>
                <w:color w:val="auto"/>
              </w:rPr>
            </w:pPr>
            <w:r>
              <w:rPr>
                <w:rFonts w:ascii="Arial" w:cs="Arial" w:eastAsia="Arial" w:hAnsi="Arial"/>
                <w:sz w:val="14"/>
                <w:szCs w:val="14"/>
                <w:b w:val="1"/>
                <w:bCs w:val="1"/>
                <w:color w:val="auto"/>
              </w:rPr>
              <w:t>December 31,</w:t>
            </w:r>
          </w:p>
        </w:tc>
      </w:tr>
      <w:tr>
        <w:trPr>
          <w:trHeight w:val="204"/>
        </w:trPr>
        <w:tc>
          <w:tcPr>
            <w:tcW w:w="832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r>
      <w:tr>
        <w:trPr>
          <w:trHeight w:val="224"/>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2025 at 1.375%</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2026 at 1.125%</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2027 at 4.60%</w:t>
            </w: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2027 at 2.90%</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2028 at 4.60%</w:t>
            </w: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2029 at 4.60%</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2029 at 2.25%</w:t>
            </w: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2030 at 1.75%</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2030 at 4.50%</w:t>
            </w: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2031 at 1.90%</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2032 at 3.65%</w:t>
            </w: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2033 at 4.90%</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2034 at 4.85%</w:t>
            </w: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2035 at 5.10%</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2039 at 3.875%</w:t>
            </w: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Notes due 2048 at 4.15%</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2051 at 2.70%</w:t>
            </w: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Notes due 2052 at 4.10%</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2053 at 5.00%</w:t>
            </w: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2054 at 5.15%</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2063 at 5.05%</w:t>
            </w:r>
          </w:p>
        </w:tc>
        <w:tc>
          <w:tcPr>
            <w:tcW w:w="28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1,550</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1,550</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14,150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unamortized discounts, premiums and issuance costs</w:t>
            </w:r>
          </w:p>
        </w:tc>
        <w:tc>
          <w:tcPr>
            <w:tcW w:w="28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(107)</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Total debt, including net unamortized discounts, premiums and issuance costs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14,043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13,596</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shd w:val="clear" w:color="auto" w:fill="DBDBDB"/>
          </w:tcPr>
          <w:p>
            <w:pPr>
              <w:spacing w:after="0"/>
              <w:rPr>
                <w:sz w:val="19"/>
                <w:szCs w:val="19"/>
                <w:color w:val="auto"/>
              </w:rPr>
            </w:pPr>
          </w:p>
        </w:tc>
        <w:tc>
          <w:tcPr>
            <w:tcW w:w="12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14,043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12,846</w:t>
            </w:r>
          </w:p>
        </w:tc>
      </w:tr>
      <w:tr>
        <w:trPr>
          <w:trHeight w:val="20"/>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Interest and debt expense was $133 million and $131 million for the second quarters of 2025 and 2024, respectively, and $ 261 million and $247 million for the first six months of 2025 and 2024, respectively. This was net of the amortized discounts, premiums and issuance and other related costs. Capitalized interest was $2 million and $5 million for the second quarters of 2025 and 2024, respectively, and $6 million and $11 million for the first six months of 2025 and 2024, respectively.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equity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Treasury</w:t>
            </w:r>
          </w:p>
        </w:tc>
        <w:tc>
          <w:tcPr>
            <w:tcW w:w="260" w:type="dxa"/>
            <w:vAlign w:val="bottom"/>
          </w:tcPr>
          <w:p>
            <w:pPr>
              <w:spacing w:after="0"/>
              <w:rPr>
                <w:sz w:val="14"/>
                <w:szCs w:val="14"/>
                <w:color w:val="auto"/>
              </w:rPr>
            </w:pPr>
          </w:p>
        </w:tc>
        <w:tc>
          <w:tcPr>
            <w:tcW w:w="8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December 31, 2024</w:t>
            </w:r>
          </w:p>
        </w:tc>
        <w:tc>
          <w:tcPr>
            <w:tcW w:w="3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3,935</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52,262</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(40,895)</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($1.36 per share)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(1,238)</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Balance, March 31, 2025</w:t>
            </w: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DBDBDB"/>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4,058</w:t>
            </w:r>
          </w:p>
        </w:tc>
        <w:tc>
          <w:tcPr>
            <w:tcW w:w="10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52,196</w:t>
            </w:r>
          </w:p>
        </w:tc>
        <w:tc>
          <w:tcPr>
            <w:tcW w:w="12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(41,442)</w:t>
            </w:r>
          </w:p>
        </w:tc>
        <w:tc>
          <w:tcPr>
            <w:tcW w:w="100" w:type="dxa"/>
            <w:vAlign w:val="bottom"/>
            <w:tcBorders>
              <w:bottom w:val="single" w:sz="8" w:color="DBDBDB"/>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7"/>
        </w:trPr>
        <w:tc>
          <w:tcPr>
            <w:tcW w:w="524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Dividends declared and paid ($1.36 per share)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(1,235)</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Common stock issued for stock-based awards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Stock repurchases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(290)</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Stock compensation</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Other comprehensive income (loss), net of taxes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Dividend equivalents on RSUs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Other</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June 30, 2025</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52,249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(41,676)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Treasury</w:t>
            </w:r>
          </w:p>
        </w:tc>
        <w:tc>
          <w:tcPr>
            <w:tcW w:w="260" w:type="dxa"/>
            <w:vAlign w:val="bottom"/>
          </w:tcPr>
          <w:p>
            <w:pPr>
              <w:spacing w:after="0"/>
              <w:rPr>
                <w:sz w:val="14"/>
                <w:szCs w:val="14"/>
                <w:color w:val="auto"/>
              </w:rPr>
            </w:pPr>
          </w:p>
        </w:tc>
        <w:tc>
          <w:tcPr>
            <w:tcW w:w="8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December 31, 2023</w:t>
            </w:r>
          </w:p>
        </w:tc>
        <w:tc>
          <w:tcPr>
            <w:tcW w:w="3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3,362</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52,283</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(40,284)</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2024</w:t>
            </w:r>
          </w:p>
        </w:tc>
        <w:tc>
          <w:tcPr>
            <w:tcW w:w="3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($1.30 per share)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(1,183)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Balance, March 31, 2024</w:t>
            </w: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DBDBDB"/>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3,439</w:t>
            </w:r>
          </w:p>
        </w:tc>
        <w:tc>
          <w:tcPr>
            <w:tcW w:w="10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52,199</w:t>
            </w:r>
          </w:p>
        </w:tc>
        <w:tc>
          <w:tcPr>
            <w:tcW w:w="12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(40,193)</w:t>
            </w:r>
          </w:p>
        </w:tc>
        <w:tc>
          <w:tcPr>
            <w:tcW w:w="100" w:type="dxa"/>
            <w:vAlign w:val="bottom"/>
            <w:tcBorders>
              <w:bottom w:val="single" w:sz="8" w:color="DBDBDB"/>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6"/>
        </w:trPr>
        <w:tc>
          <w:tcPr>
            <w:tcW w:w="524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($1.30 per share)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(1,185)</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2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June 30, 2024</w:t>
            </w:r>
          </w:p>
        </w:tc>
        <w:tc>
          <w:tcPr>
            <w:tcW w:w="3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3,666</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52,135</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(40,128)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524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23" w:lineRule="exact"/>
        <w:rPr>
          <w:sz w:val="20"/>
          <w:szCs w:val="20"/>
          <w:color w:val="auto"/>
        </w:rPr>
      </w:pPr>
    </w:p>
    <w:p>
      <w:pPr>
        <w:ind w:right="200"/>
        <w:spacing w:after="0" w:line="31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23"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Our stated warranties for semiconductor products obligate us to repair, replace or credit the purchase price of a covered product back to the buyer. Product claim consideration may exceed the price of our products. Historically, we have experienced a low rate of payments on product claims. Although we cannot predict the likelihood or amount of any future claims, we do not believe they will have a material adverse effect on our consolidated financial statements. We accrue for known product-related claims if a loss is probable and can be reasonably estimated. During the periods presented, there have been no material accruals or payments regarding product warranty or product liability.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3"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consolidated financial statements.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8"/>
          <w:szCs w:val="18"/>
          <w:u w:val="single" w:color="auto"/>
          <w:color w:val="auto"/>
        </w:rPr>
        <w:t>Supplemental financial information</w:t>
      </w: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Prepaid expenses and other current assets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7"/>
                <w:szCs w:val="17"/>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24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8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CHIPS Act incentives</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2,025</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2,379</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0"/>
        </w:trPr>
        <w:tc>
          <w:tcPr>
            <w:tcW w:w="824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i w:val="1"/>
                <w:iCs w:val="1"/>
                <w:color w:val="auto"/>
              </w:rPr>
              <w:t>Other long-term assets</w:t>
            </w: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8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9"/>
                <w:szCs w:val="19"/>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4"/>
        </w:trPr>
        <w:tc>
          <w:tcPr>
            <w:tcW w:w="824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8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CHIPS Act incentives</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1,058</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1,111</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2,169</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20"/>
        </w:trPr>
        <w:tc>
          <w:tcPr>
            <w:tcW w:w="824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2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Our Consolidated Statements of Comprehensive Income include items that have been recognized within net income during the second quarters and first six months of 2025 and 2024. The table below details where these transactions are recorded in our Consolidated Statements of Income.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Three Months Ended</w:t>
            </w:r>
          </w:p>
        </w:tc>
        <w:tc>
          <w:tcPr>
            <w:tcW w:w="240" w:type="dxa"/>
            <w:vAlign w:val="bottom"/>
          </w:tcPr>
          <w:p>
            <w:pPr>
              <w:spacing w:after="0"/>
              <w:rPr>
                <w:sz w:val="17"/>
                <w:szCs w:val="17"/>
                <w:color w:val="auto"/>
              </w:rPr>
            </w:pPr>
          </w:p>
        </w:tc>
        <w:tc>
          <w:tcPr>
            <w:tcW w:w="1760" w:type="dxa"/>
            <w:vAlign w:val="bottom"/>
            <w:gridSpan w:val="3"/>
          </w:tcPr>
          <w:p>
            <w:pPr>
              <w:ind w:left="160"/>
              <w:spacing w:after="0"/>
              <w:rPr>
                <w:sz w:val="20"/>
                <w:szCs w:val="20"/>
                <w:color w:val="auto"/>
              </w:rPr>
            </w:pPr>
            <w:r>
              <w:rPr>
                <w:rFonts w:ascii="Arial" w:cs="Arial" w:eastAsia="Arial" w:hAnsi="Arial"/>
                <w:sz w:val="14"/>
                <w:szCs w:val="14"/>
                <w:b w:val="1"/>
                <w:bCs w:val="1"/>
                <w:color w:val="auto"/>
              </w:rPr>
              <w:t>For Six Months Ended</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4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98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Impact to Related Statement of Income</w:t>
            </w:r>
          </w:p>
        </w:tc>
        <w:tc>
          <w:tcPr>
            <w:tcW w:w="0" w:type="dxa"/>
            <w:vAlign w:val="bottom"/>
          </w:tcPr>
          <w:p>
            <w:pPr>
              <w:spacing w:after="0"/>
              <w:rPr>
                <w:sz w:val="1"/>
                <w:szCs w:val="1"/>
                <w:color w:val="auto"/>
              </w:rPr>
            </w:pPr>
          </w:p>
        </w:tc>
      </w:tr>
      <w:tr>
        <w:trPr>
          <w:trHeight w:val="54"/>
        </w:trPr>
        <w:tc>
          <w:tcPr>
            <w:tcW w:w="3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4"/>
                <w:szCs w:val="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2024</w:t>
            </w: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42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2980" w:type="dxa"/>
            <w:vAlign w:val="bottom"/>
            <w:tcBorders>
              <w:bottom w:val="single" w:sz="8" w:color="auto"/>
            </w:tcBorders>
            <w:gridSpan w:val="2"/>
          </w:tcPr>
          <w:p>
            <w:pPr>
              <w:jc w:val="right"/>
              <w:ind w:right="1210"/>
              <w:spacing w:after="0"/>
              <w:rPr>
                <w:sz w:val="20"/>
                <w:szCs w:val="20"/>
                <w:color w:val="auto"/>
              </w:rPr>
            </w:pPr>
            <w:r>
              <w:rPr>
                <w:rFonts w:ascii="Arial" w:cs="Arial" w:eastAsia="Arial" w:hAnsi="Arial"/>
                <w:sz w:val="14"/>
                <w:szCs w:val="14"/>
                <w:b w:val="1"/>
                <w:bCs w:val="1"/>
                <w:color w:val="auto"/>
              </w:rPr>
              <w:t>Lines</w:t>
            </w:r>
          </w:p>
        </w:tc>
        <w:tc>
          <w:tcPr>
            <w:tcW w:w="0" w:type="dxa"/>
            <w:vAlign w:val="bottom"/>
          </w:tcPr>
          <w:p>
            <w:pPr>
              <w:spacing w:after="0"/>
              <w:rPr>
                <w:sz w:val="1"/>
                <w:szCs w:val="1"/>
                <w:color w:val="auto"/>
              </w:rPr>
            </w:pPr>
          </w:p>
        </w:tc>
      </w:tr>
      <w:tr>
        <w:trPr>
          <w:trHeight w:val="164"/>
        </w:trPr>
        <w:tc>
          <w:tcPr>
            <w:tcW w:w="3420" w:type="dxa"/>
            <w:vAlign w:val="bottom"/>
            <w:shd w:val="clear" w:color="auto" w:fill="DBDBDB"/>
          </w:tcPr>
          <w:p>
            <w:pPr>
              <w:ind w:left="20"/>
              <w:spacing w:after="0" w:line="163" w:lineRule="exact"/>
              <w:rPr>
                <w:sz w:val="20"/>
                <w:szCs w:val="20"/>
                <w:color w:val="auto"/>
              </w:rPr>
            </w:pPr>
            <w:r>
              <w:rPr>
                <w:rFonts w:ascii="Arial" w:cs="Arial" w:eastAsia="Arial" w:hAnsi="Arial"/>
                <w:sz w:val="18"/>
                <w:szCs w:val="18"/>
                <w:color w:val="auto"/>
              </w:rPr>
              <w:t>Net actuarial losses of defined benefit</w:t>
            </w:r>
          </w:p>
        </w:tc>
        <w:tc>
          <w:tcPr>
            <w:tcW w:w="22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0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60" w:type="dxa"/>
            <w:vAlign w:val="bottom"/>
            <w:shd w:val="clear" w:color="auto" w:fill="DBDBDB"/>
          </w:tcPr>
          <w:p>
            <w:pPr>
              <w:spacing w:after="0"/>
              <w:rPr>
                <w:sz w:val="14"/>
                <w:szCs w:val="14"/>
                <w:color w:val="auto"/>
              </w:rPr>
            </w:pPr>
          </w:p>
        </w:tc>
        <w:tc>
          <w:tcPr>
            <w:tcW w:w="13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plans:</w:t>
            </w:r>
          </w:p>
        </w:tc>
        <w:tc>
          <w:tcPr>
            <w:tcW w:w="220" w:type="dxa"/>
            <w:vAlign w:val="bottom"/>
            <w:shd w:val="clear" w:color="auto" w:fill="DBDBDB"/>
          </w:tcPr>
          <w:p>
            <w:pPr>
              <w:spacing w:after="0"/>
              <w:rPr>
                <w:sz w:val="20"/>
                <w:szCs w:val="20"/>
                <w:color w:val="auto"/>
              </w:rPr>
            </w:pPr>
          </w:p>
        </w:tc>
        <w:tc>
          <w:tcPr>
            <w:tcW w:w="9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20" w:type="dxa"/>
            <w:vAlign w:val="bottom"/>
            <w:shd w:val="clear" w:color="auto" w:fill="DBDBDB"/>
          </w:tcPr>
          <w:p>
            <w:pPr>
              <w:spacing w:after="0"/>
              <w:rPr>
                <w:sz w:val="20"/>
                <w:szCs w:val="20"/>
                <w:color w:val="auto"/>
              </w:rPr>
            </w:pPr>
          </w:p>
        </w:tc>
        <w:tc>
          <w:tcPr>
            <w:tcW w:w="78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800" w:type="dxa"/>
            <w:vAlign w:val="bottom"/>
            <w:shd w:val="clear" w:color="auto" w:fill="DBDBDB"/>
          </w:tcPr>
          <w:p>
            <w:pPr>
              <w:spacing w:after="0"/>
              <w:rPr>
                <w:sz w:val="20"/>
                <w:szCs w:val="20"/>
                <w:color w:val="auto"/>
              </w:rPr>
            </w:pPr>
          </w:p>
        </w:tc>
        <w:tc>
          <w:tcPr>
            <w:tcW w:w="3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66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420" w:type="dxa"/>
            <w:vAlign w:val="bottom"/>
          </w:tcPr>
          <w:p>
            <w:pPr>
              <w:ind w:left="140"/>
              <w:spacing w:after="0" w:line="183" w:lineRule="exact"/>
              <w:rPr>
                <w:sz w:val="20"/>
                <w:szCs w:val="20"/>
                <w:color w:val="auto"/>
              </w:rPr>
            </w:pPr>
            <w:r>
              <w:rPr>
                <w:rFonts w:ascii="Arial" w:cs="Arial" w:eastAsia="Arial" w:hAnsi="Arial"/>
                <w:sz w:val="18"/>
                <w:szCs w:val="18"/>
                <w:color w:val="auto"/>
              </w:rPr>
              <w:t>Recognized net actuarial losses and</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tcPr>
          <w:p>
            <w:pPr>
              <w:jc w:val="center"/>
              <w:ind w:left="559"/>
              <w:spacing w:after="0"/>
              <w:rPr>
                <w:sz w:val="20"/>
                <w:szCs w:val="20"/>
                <w:color w:val="auto"/>
              </w:rPr>
            </w:pPr>
            <w:r>
              <w:rPr>
                <w:rFonts w:ascii="Arial" w:cs="Arial" w:eastAsia="Arial" w:hAnsi="Arial"/>
                <w:sz w:val="18"/>
                <w:szCs w:val="18"/>
                <w:b w:val="1"/>
                <w:bCs w:val="1"/>
                <w:color w:val="auto"/>
                <w:w w:val="99"/>
              </w:rPr>
              <w:t>5</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vMerge w:val="restart"/>
          </w:tcPr>
          <w:p>
            <w:pPr>
              <w:jc w:val="center"/>
              <w:ind w:left="519"/>
              <w:spacing w:after="0"/>
              <w:rPr>
                <w:sz w:val="20"/>
                <w:szCs w:val="20"/>
                <w:color w:val="auto"/>
              </w:rPr>
            </w:pPr>
            <w:r>
              <w:rPr>
                <w:rFonts w:ascii="Arial" w:cs="Arial" w:eastAsia="Arial" w:hAnsi="Arial"/>
                <w:sz w:val="18"/>
                <w:szCs w:val="18"/>
                <w:b w:val="1"/>
                <w:bCs w:val="1"/>
                <w:color w:val="auto"/>
                <w:w w:val="99"/>
              </w:rPr>
              <w:t>8</w:t>
            </w:r>
          </w:p>
        </w:tc>
        <w:tc>
          <w:tcPr>
            <w:tcW w:w="100" w:type="dxa"/>
            <w:vAlign w:val="bottom"/>
          </w:tcPr>
          <w:p>
            <w:pPr>
              <w:spacing w:after="0"/>
              <w:rPr>
                <w:sz w:val="15"/>
                <w:szCs w:val="15"/>
                <w:color w:val="auto"/>
              </w:rPr>
            </w:pPr>
          </w:p>
        </w:tc>
        <w:tc>
          <w:tcPr>
            <w:tcW w:w="800" w:type="dxa"/>
            <w:vAlign w:val="bottom"/>
            <w:vMerge w:val="restart"/>
          </w:tcPr>
          <w:p>
            <w:pPr>
              <w:jc w:val="right"/>
              <w:ind w:right="596"/>
              <w:spacing w:after="0"/>
              <w:rPr>
                <w:sz w:val="20"/>
                <w:szCs w:val="20"/>
                <w:color w:val="auto"/>
              </w:rPr>
            </w:pPr>
            <w:r>
              <w:rPr>
                <w:rFonts w:ascii="Arial" w:cs="Arial" w:eastAsia="Arial" w:hAnsi="Arial"/>
                <w:sz w:val="18"/>
                <w:szCs w:val="18"/>
                <w:color w:val="auto"/>
                <w:w w:val="99"/>
              </w:rPr>
              <w:t>$</w:t>
            </w:r>
          </w:p>
        </w:tc>
        <w:tc>
          <w:tcPr>
            <w:tcW w:w="320" w:type="dxa"/>
            <w:vAlign w:val="bottom"/>
            <w:vMerge w:val="restart"/>
          </w:tcPr>
          <w:p>
            <w:pPr>
              <w:jc w:val="center"/>
              <w:spacing w:after="0"/>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15"/>
                <w:szCs w:val="15"/>
                <w:color w:val="auto"/>
              </w:rPr>
            </w:pPr>
          </w:p>
        </w:tc>
        <w:tc>
          <w:tcPr>
            <w:tcW w:w="2980" w:type="dxa"/>
            <w:vAlign w:val="bottom"/>
            <w:gridSpan w:val="2"/>
            <w:vMerge w:val="restart"/>
          </w:tcPr>
          <w:p>
            <w:pPr>
              <w:ind w:left="20"/>
              <w:spacing w:after="0"/>
              <w:rPr>
                <w:sz w:val="20"/>
                <w:szCs w:val="20"/>
                <w:color w:val="auto"/>
              </w:rPr>
            </w:pPr>
            <w:r>
              <w:rPr>
                <w:rFonts w:ascii="Arial" w:cs="Arial" w:eastAsia="Arial" w:hAnsi="Arial"/>
                <w:sz w:val="18"/>
                <w:szCs w:val="18"/>
                <w:color w:val="auto"/>
              </w:rPr>
              <w:t>Decrease to OI&amp;E</w:t>
            </w:r>
          </w:p>
        </w:tc>
        <w:tc>
          <w:tcPr>
            <w:tcW w:w="0" w:type="dxa"/>
            <w:vAlign w:val="bottom"/>
          </w:tcPr>
          <w:p>
            <w:pPr>
              <w:spacing w:after="0"/>
              <w:rPr>
                <w:sz w:val="1"/>
                <w:szCs w:val="1"/>
                <w:color w:val="auto"/>
              </w:rPr>
            </w:pPr>
          </w:p>
        </w:tc>
      </w:tr>
      <w:tr>
        <w:trPr>
          <w:trHeight w:val="235"/>
        </w:trPr>
        <w:tc>
          <w:tcPr>
            <w:tcW w:w="3420" w:type="dxa"/>
            <w:vAlign w:val="bottom"/>
          </w:tcPr>
          <w:p>
            <w:pPr>
              <w:ind w:left="140"/>
              <w:spacing w:after="0"/>
              <w:rPr>
                <w:sz w:val="20"/>
                <w:szCs w:val="20"/>
                <w:color w:val="auto"/>
              </w:rPr>
            </w:pPr>
            <w:r>
              <w:rPr>
                <w:rFonts w:ascii="Arial" w:cs="Arial" w:eastAsia="Arial" w:hAnsi="Arial"/>
                <w:sz w:val="18"/>
                <w:szCs w:val="18"/>
                <w:color w:val="auto"/>
              </w:rPr>
              <w:t>settlement losses (a)</w:t>
            </w:r>
          </w:p>
        </w:tc>
        <w:tc>
          <w:tcPr>
            <w:tcW w:w="22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9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420" w:type="dxa"/>
            <w:vAlign w:val="bottom"/>
            <w:vMerge w:val="restart"/>
            <w:shd w:val="clear" w:color="auto" w:fill="DBDBDB"/>
          </w:tcPr>
          <w:p>
            <w:pPr>
              <w:ind w:left="140"/>
              <w:spacing w:after="0"/>
              <w:rPr>
                <w:sz w:val="20"/>
                <w:szCs w:val="20"/>
                <w:color w:val="auto"/>
              </w:rPr>
            </w:pPr>
            <w:r>
              <w:rPr>
                <w:rFonts w:ascii="Arial" w:cs="Arial" w:eastAsia="Arial" w:hAnsi="Arial"/>
                <w:sz w:val="18"/>
                <w:szCs w:val="18"/>
                <w:color w:val="auto"/>
              </w:rPr>
              <w:t>Tax effect</w:t>
            </w:r>
          </w:p>
        </w:tc>
        <w:tc>
          <w:tcPr>
            <w:tcW w:w="220" w:type="dxa"/>
            <w:vAlign w:val="bottom"/>
            <w:shd w:val="clear" w:color="auto" w:fill="DBDBDB"/>
          </w:tcPr>
          <w:p>
            <w:pPr>
              <w:spacing w:after="0"/>
              <w:rPr>
                <w:sz w:val="15"/>
                <w:szCs w:val="15"/>
                <w:color w:val="auto"/>
              </w:rPr>
            </w:pPr>
          </w:p>
        </w:tc>
        <w:tc>
          <w:tcPr>
            <w:tcW w:w="900" w:type="dxa"/>
            <w:vAlign w:val="bottom"/>
            <w:vMerge w:val="restart"/>
            <w:shd w:val="clear" w:color="auto" w:fill="DBDBDB"/>
          </w:tcPr>
          <w:p>
            <w:pPr>
              <w:jc w:val="center"/>
              <w:ind w:left="519"/>
              <w:spacing w:after="0"/>
              <w:rPr>
                <w:sz w:val="20"/>
                <w:szCs w:val="20"/>
                <w:color w:val="auto"/>
              </w:rPr>
            </w:pPr>
            <w:r>
              <w:rPr>
                <w:rFonts w:ascii="Arial" w:cs="Arial" w:eastAsia="Arial" w:hAnsi="Arial"/>
                <w:sz w:val="18"/>
                <w:szCs w:val="18"/>
                <w:b w:val="1"/>
                <w:bCs w:val="1"/>
                <w:color w:val="auto"/>
                <w:w w:val="99"/>
              </w:rPr>
              <w:t>(1)</w:t>
            </w:r>
          </w:p>
        </w:tc>
        <w:tc>
          <w:tcPr>
            <w:tcW w:w="10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60" w:type="dxa"/>
            <w:vAlign w:val="bottom"/>
            <w:vMerge w:val="restart"/>
            <w:shd w:val="clear" w:color="auto" w:fill="DBDBDB"/>
          </w:tcPr>
          <w:p>
            <w:pPr>
              <w:jc w:val="center"/>
              <w:ind w:left="519"/>
              <w:spacing w:after="0"/>
              <w:rPr>
                <w:sz w:val="20"/>
                <w:szCs w:val="20"/>
                <w:color w:val="auto"/>
              </w:rPr>
            </w:pPr>
            <w:r>
              <w:rPr>
                <w:rFonts w:ascii="Arial" w:cs="Arial" w:eastAsia="Arial" w:hAnsi="Arial"/>
                <w:sz w:val="18"/>
                <w:szCs w:val="18"/>
                <w:b w:val="1"/>
                <w:bCs w:val="1"/>
                <w:color w:val="auto"/>
                <w:w w:val="99"/>
              </w:rPr>
              <w:t>(2)</w:t>
            </w:r>
          </w:p>
        </w:tc>
        <w:tc>
          <w:tcPr>
            <w:tcW w:w="10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32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(2)</w:t>
            </w:r>
          </w:p>
        </w:tc>
        <w:tc>
          <w:tcPr>
            <w:tcW w:w="80" w:type="dxa"/>
            <w:vAlign w:val="bottom"/>
            <w:shd w:val="clear" w:color="auto" w:fill="DBDBDB"/>
          </w:tcPr>
          <w:p>
            <w:pPr>
              <w:spacing w:after="0"/>
              <w:rPr>
                <w:sz w:val="15"/>
                <w:szCs w:val="15"/>
                <w:color w:val="auto"/>
              </w:rPr>
            </w:pPr>
          </w:p>
        </w:tc>
        <w:tc>
          <w:tcPr>
            <w:tcW w:w="2980" w:type="dxa"/>
            <w:vAlign w:val="bottom"/>
            <w:gridSpan w:val="2"/>
            <w:shd w:val="clear" w:color="auto" w:fill="DBDBDB"/>
          </w:tcPr>
          <w:p>
            <w:pPr>
              <w:ind w:left="20"/>
              <w:spacing w:after="0" w:line="183" w:lineRule="exact"/>
              <w:rPr>
                <w:sz w:val="20"/>
                <w:szCs w:val="20"/>
                <w:color w:val="auto"/>
              </w:rPr>
            </w:pPr>
            <w:r>
              <w:rPr>
                <w:rFonts w:ascii="Arial" w:cs="Arial" w:eastAsia="Arial" w:hAnsi="Arial"/>
                <w:sz w:val="18"/>
                <w:szCs w:val="18"/>
                <w:color w:val="auto"/>
              </w:rPr>
              <w:t>Decrease to provision for income</w:t>
            </w:r>
          </w:p>
        </w:tc>
        <w:tc>
          <w:tcPr>
            <w:tcW w:w="0" w:type="dxa"/>
            <w:vAlign w:val="bottom"/>
          </w:tcPr>
          <w:p>
            <w:pPr>
              <w:spacing w:after="0"/>
              <w:rPr>
                <w:sz w:val="1"/>
                <w:szCs w:val="1"/>
                <w:color w:val="auto"/>
              </w:rPr>
            </w:pPr>
          </w:p>
        </w:tc>
      </w:tr>
      <w:tr>
        <w:trPr>
          <w:trHeight w:val="235"/>
        </w:trPr>
        <w:tc>
          <w:tcPr>
            <w:tcW w:w="3420" w:type="dxa"/>
            <w:vAlign w:val="bottom"/>
            <w:vMerge w:val="continue"/>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p>
        </w:tc>
        <w:tc>
          <w:tcPr>
            <w:tcW w:w="900" w:type="dxa"/>
            <w:vAlign w:val="bottom"/>
            <w:tcBorders>
              <w:bottom w:val="single" w:sz="8" w:color="auto"/>
            </w:tcBorders>
            <w:vMerge w:val="continue"/>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20" w:type="dxa"/>
            <w:vAlign w:val="bottom"/>
            <w:tcBorders>
              <w:bottom w:val="single" w:sz="8" w:color="auto"/>
            </w:tcBorders>
            <w:shd w:val="clear" w:color="auto" w:fill="DBDBDB"/>
          </w:tcPr>
          <w:p>
            <w:pPr>
              <w:spacing w:after="0"/>
              <w:rPr>
                <w:sz w:val="20"/>
                <w:szCs w:val="20"/>
                <w:color w:val="auto"/>
              </w:rPr>
            </w:pPr>
          </w:p>
        </w:tc>
        <w:tc>
          <w:tcPr>
            <w:tcW w:w="780" w:type="dxa"/>
            <w:vAlign w:val="bottom"/>
            <w:tcBorders>
              <w:bottom w:val="single" w:sz="8" w:color="auto"/>
            </w:tcBorders>
            <w:vMerge w:val="continue"/>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spacing w:after="0"/>
              <w:rPr>
                <w:sz w:val="20"/>
                <w:szCs w:val="20"/>
                <w:color w:val="auto"/>
              </w:rPr>
            </w:pPr>
          </w:p>
        </w:tc>
        <w:tc>
          <w:tcPr>
            <w:tcW w:w="860" w:type="dxa"/>
            <w:vAlign w:val="bottom"/>
            <w:tcBorders>
              <w:bottom w:val="single" w:sz="8" w:color="auto"/>
            </w:tcBorders>
            <w:vMerge w:val="continue"/>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800" w:type="dxa"/>
            <w:vAlign w:val="bottom"/>
            <w:tcBorders>
              <w:bottom w:val="single" w:sz="8" w:color="auto"/>
            </w:tcBorders>
            <w:shd w:val="clear" w:color="auto" w:fill="DBDBDB"/>
          </w:tcPr>
          <w:p>
            <w:pPr>
              <w:spacing w:after="0"/>
              <w:rPr>
                <w:sz w:val="20"/>
                <w:szCs w:val="20"/>
                <w:color w:val="auto"/>
              </w:rPr>
            </w:pPr>
          </w:p>
        </w:tc>
        <w:tc>
          <w:tcPr>
            <w:tcW w:w="320" w:type="dxa"/>
            <w:vAlign w:val="bottom"/>
            <w:tcBorders>
              <w:bottom w:val="single" w:sz="8" w:color="auto"/>
            </w:tcBorders>
            <w:vMerge w:val="continue"/>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9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164"/>
        </w:trPr>
        <w:tc>
          <w:tcPr>
            <w:tcW w:w="3420" w:type="dxa"/>
            <w:vAlign w:val="bottom"/>
          </w:tcPr>
          <w:p>
            <w:pPr>
              <w:ind w:left="140"/>
              <w:spacing w:after="0" w:line="163" w:lineRule="exact"/>
              <w:rPr>
                <w:sz w:val="20"/>
                <w:szCs w:val="20"/>
                <w:color w:val="auto"/>
              </w:rPr>
            </w:pPr>
            <w:r>
              <w:rPr>
                <w:rFonts w:ascii="Arial" w:cs="Arial" w:eastAsia="Arial" w:hAnsi="Arial"/>
                <w:sz w:val="18"/>
                <w:szCs w:val="18"/>
                <w:color w:val="auto"/>
              </w:rPr>
              <w:t>Recognized within net income, net of</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tcPr>
          <w:p>
            <w:pPr>
              <w:jc w:val="center"/>
              <w:ind w:left="559"/>
              <w:spacing w:after="0"/>
              <w:rPr>
                <w:sz w:val="20"/>
                <w:szCs w:val="20"/>
                <w:color w:val="auto"/>
              </w:rPr>
            </w:pPr>
            <w:r>
              <w:rPr>
                <w:rFonts w:ascii="Arial" w:cs="Arial" w:eastAsia="Arial" w:hAnsi="Arial"/>
                <w:sz w:val="18"/>
                <w:szCs w:val="18"/>
                <w:b w:val="1"/>
                <w:bCs w:val="1"/>
                <w:color w:val="auto"/>
                <w:w w:val="99"/>
              </w:rPr>
              <w:t>4</w:t>
            </w:r>
          </w:p>
        </w:tc>
        <w:tc>
          <w:tcPr>
            <w:tcW w:w="100" w:type="dxa"/>
            <w:vAlign w:val="bottom"/>
          </w:tcPr>
          <w:p>
            <w:pPr>
              <w:spacing w:after="0"/>
              <w:rPr>
                <w:sz w:val="14"/>
                <w:szCs w:val="14"/>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4"/>
                <w:szCs w:val="14"/>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vMerge w:val="restart"/>
          </w:tcPr>
          <w:p>
            <w:pPr>
              <w:jc w:val="center"/>
              <w:ind w:left="519"/>
              <w:spacing w:after="0"/>
              <w:rPr>
                <w:sz w:val="20"/>
                <w:szCs w:val="20"/>
                <w:color w:val="auto"/>
              </w:rPr>
            </w:pPr>
            <w:r>
              <w:rPr>
                <w:rFonts w:ascii="Arial" w:cs="Arial" w:eastAsia="Arial" w:hAnsi="Arial"/>
                <w:sz w:val="18"/>
                <w:szCs w:val="18"/>
                <w:b w:val="1"/>
                <w:bCs w:val="1"/>
                <w:color w:val="auto"/>
                <w:w w:val="99"/>
              </w:rPr>
              <w:t>6</w:t>
            </w:r>
          </w:p>
        </w:tc>
        <w:tc>
          <w:tcPr>
            <w:tcW w:w="100" w:type="dxa"/>
            <w:vAlign w:val="bottom"/>
          </w:tcPr>
          <w:p>
            <w:pPr>
              <w:spacing w:after="0"/>
              <w:rPr>
                <w:sz w:val="14"/>
                <w:szCs w:val="14"/>
                <w:color w:val="auto"/>
              </w:rPr>
            </w:pPr>
          </w:p>
        </w:tc>
        <w:tc>
          <w:tcPr>
            <w:tcW w:w="800" w:type="dxa"/>
            <w:vAlign w:val="bottom"/>
            <w:vMerge w:val="restart"/>
          </w:tcPr>
          <w:p>
            <w:pPr>
              <w:jc w:val="right"/>
              <w:ind w:right="596"/>
              <w:spacing w:after="0"/>
              <w:rPr>
                <w:sz w:val="20"/>
                <w:szCs w:val="20"/>
                <w:color w:val="auto"/>
              </w:rPr>
            </w:pPr>
            <w:r>
              <w:rPr>
                <w:rFonts w:ascii="Arial" w:cs="Arial" w:eastAsia="Arial" w:hAnsi="Arial"/>
                <w:sz w:val="18"/>
                <w:szCs w:val="18"/>
                <w:color w:val="auto"/>
                <w:w w:val="99"/>
              </w:rPr>
              <w:t>$</w:t>
            </w:r>
          </w:p>
        </w:tc>
        <w:tc>
          <w:tcPr>
            <w:tcW w:w="320" w:type="dxa"/>
            <w:vAlign w:val="bottom"/>
            <w:vMerge w:val="restart"/>
          </w:tcPr>
          <w:p>
            <w:pPr>
              <w:jc w:val="center"/>
              <w:spacing w:after="0"/>
              <w:rPr>
                <w:sz w:val="20"/>
                <w:szCs w:val="20"/>
                <w:color w:val="auto"/>
              </w:rPr>
            </w:pPr>
            <w:r>
              <w:rPr>
                <w:rFonts w:ascii="Arial" w:cs="Arial" w:eastAsia="Arial" w:hAnsi="Arial"/>
                <w:sz w:val="18"/>
                <w:szCs w:val="18"/>
                <w:color w:val="auto"/>
                <w:w w:val="99"/>
              </w:rPr>
              <w:t>5</w:t>
            </w:r>
          </w:p>
        </w:tc>
        <w:tc>
          <w:tcPr>
            <w:tcW w:w="80" w:type="dxa"/>
            <w:vAlign w:val="bottom"/>
          </w:tcPr>
          <w:p>
            <w:pPr>
              <w:spacing w:after="0"/>
              <w:rPr>
                <w:sz w:val="14"/>
                <w:szCs w:val="14"/>
                <w:color w:val="auto"/>
              </w:rPr>
            </w:pPr>
          </w:p>
        </w:tc>
        <w:tc>
          <w:tcPr>
            <w:tcW w:w="2980" w:type="dxa"/>
            <w:vAlign w:val="bottom"/>
            <w:gridSpan w:val="2"/>
            <w:vMerge w:val="restart"/>
          </w:tcPr>
          <w:p>
            <w:pPr>
              <w:ind w:left="20"/>
              <w:spacing w:after="0"/>
              <w:rPr>
                <w:sz w:val="20"/>
                <w:szCs w:val="20"/>
                <w:color w:val="auto"/>
              </w:rPr>
            </w:pPr>
            <w:r>
              <w:rPr>
                <w:rFonts w:ascii="Arial" w:cs="Arial" w:eastAsia="Arial" w:hAnsi="Arial"/>
                <w:sz w:val="18"/>
                <w:szCs w:val="18"/>
                <w:color w:val="auto"/>
              </w:rPr>
              <w:t>Decrease to net income</w:t>
            </w:r>
          </w:p>
        </w:tc>
        <w:tc>
          <w:tcPr>
            <w:tcW w:w="0" w:type="dxa"/>
            <w:vAlign w:val="bottom"/>
          </w:tcPr>
          <w:p>
            <w:pPr>
              <w:spacing w:after="0"/>
              <w:rPr>
                <w:sz w:val="1"/>
                <w:szCs w:val="1"/>
                <w:color w:val="auto"/>
              </w:rPr>
            </w:pPr>
          </w:p>
        </w:tc>
      </w:tr>
      <w:tr>
        <w:trPr>
          <w:trHeight w:val="213"/>
        </w:trPr>
        <w:tc>
          <w:tcPr>
            <w:tcW w:w="3420" w:type="dxa"/>
            <w:vAlign w:val="bottom"/>
          </w:tcPr>
          <w:p>
            <w:pPr>
              <w:ind w:left="140"/>
              <w:spacing w:after="0"/>
              <w:rPr>
                <w:sz w:val="20"/>
                <w:szCs w:val="20"/>
                <w:color w:val="auto"/>
              </w:rPr>
            </w:pPr>
            <w:r>
              <w:rPr>
                <w:rFonts w:ascii="Arial" w:cs="Arial" w:eastAsia="Arial" w:hAnsi="Arial"/>
                <w:sz w:val="18"/>
                <w:szCs w:val="18"/>
                <w:color w:val="auto"/>
              </w:rPr>
              <w:t>taxes</w:t>
            </w:r>
          </w:p>
        </w:tc>
        <w:tc>
          <w:tcPr>
            <w:tcW w:w="2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8"/>
                <w:szCs w:val="18"/>
                <w:color w:val="auto"/>
              </w:rPr>
              <w:t>(a) Detailed in Note 5</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7"/>
        </w:trPr>
        <w:tc>
          <w:tcPr>
            <w:tcW w:w="3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40" w:type="dxa"/>
            <w:vAlign w:val="bottom"/>
            <w:gridSpan w:val="4"/>
          </w:tcPr>
          <w:p>
            <w:pPr>
              <w:spacing w:after="0"/>
              <w:rPr>
                <w:sz w:val="20"/>
                <w:szCs w:val="20"/>
                <w:color w:val="auto"/>
              </w:rPr>
            </w:pPr>
            <w:r>
              <w:rPr>
                <w:rFonts w:ascii="Arial" w:cs="Arial" w:eastAsia="Arial" w:hAnsi="Arial"/>
                <w:sz w:val="18"/>
                <w:szCs w:val="18"/>
                <w:i w:val="1"/>
                <w:iCs w:val="1"/>
                <w:color w:val="auto"/>
              </w:rPr>
              <w:t>Effect on shares outstanding and treasury shares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60" w:type="dxa"/>
            <w:vAlign w:val="bottom"/>
            <w:gridSpan w:val="5"/>
          </w:tcPr>
          <w:p>
            <w:pPr>
              <w:spacing w:after="0"/>
              <w:rPr>
                <w:sz w:val="20"/>
                <w:szCs w:val="20"/>
                <w:color w:val="auto"/>
              </w:rPr>
            </w:pPr>
            <w:r>
              <w:rPr>
                <w:rFonts w:ascii="Arial" w:cs="Arial" w:eastAsia="Arial" w:hAnsi="Arial"/>
                <w:sz w:val="18"/>
                <w:szCs w:val="18"/>
                <w:color w:val="auto"/>
              </w:rPr>
              <w:t>The following table reflects the changes in treasury shares: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6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4"/>
        </w:trPr>
        <w:tc>
          <w:tcPr>
            <w:tcW w:w="34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January 1</w:t>
            </w:r>
          </w:p>
        </w:tc>
        <w:tc>
          <w:tcPr>
            <w:tcW w:w="220" w:type="dxa"/>
            <w:vAlign w:val="bottom"/>
            <w:tcBorders>
              <w:top w:val="single" w:sz="8" w:color="DBDBDB"/>
            </w:tcBorders>
            <w:shd w:val="clear" w:color="auto" w:fill="DBDBDB"/>
          </w:tcPr>
          <w:p>
            <w:pPr>
              <w:spacing w:after="0"/>
              <w:rPr>
                <w:sz w:val="19"/>
                <w:szCs w:val="19"/>
                <w:color w:val="auto"/>
              </w:rPr>
            </w:pPr>
          </w:p>
        </w:tc>
        <w:tc>
          <w:tcPr>
            <w:tcW w:w="90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320" w:type="dxa"/>
            <w:vAlign w:val="bottom"/>
            <w:tcBorders>
              <w:top w:val="single" w:sz="8" w:color="DBDBDB"/>
            </w:tcBorders>
            <w:shd w:val="clear" w:color="auto" w:fill="DBDBDB"/>
          </w:tcPr>
          <w:p>
            <w:pPr>
              <w:spacing w:after="0"/>
              <w:rPr>
                <w:sz w:val="19"/>
                <w:szCs w:val="19"/>
                <w:color w:val="auto"/>
              </w:rPr>
            </w:pPr>
          </w:p>
        </w:tc>
        <w:tc>
          <w:tcPr>
            <w:tcW w:w="78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DBDBDB"/>
            </w:tcBorders>
            <w:shd w:val="clear" w:color="auto" w:fill="DBDBDB"/>
          </w:tcPr>
          <w:p>
            <w:pPr>
              <w:spacing w:after="0"/>
              <w:rPr>
                <w:sz w:val="19"/>
                <w:szCs w:val="19"/>
                <w:color w:val="auto"/>
              </w:rPr>
            </w:pPr>
          </w:p>
        </w:tc>
        <w:tc>
          <w:tcPr>
            <w:tcW w:w="86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800" w:type="dxa"/>
            <w:vAlign w:val="bottom"/>
            <w:tcBorders>
              <w:top w:val="single" w:sz="8" w:color="DBDBDB"/>
            </w:tcBorders>
            <w:shd w:val="clear" w:color="auto" w:fill="DBDBDB"/>
          </w:tcPr>
          <w:p>
            <w:pPr>
              <w:spacing w:after="0"/>
              <w:rPr>
                <w:sz w:val="19"/>
                <w:szCs w:val="19"/>
                <w:color w:val="auto"/>
              </w:rPr>
            </w:pPr>
          </w:p>
        </w:tc>
        <w:tc>
          <w:tcPr>
            <w:tcW w:w="320" w:type="dxa"/>
            <w:vAlign w:val="bottom"/>
            <w:tcBorders>
              <w:top w:val="single" w:sz="8" w:color="DBDBDB"/>
            </w:tcBorders>
            <w:shd w:val="clear" w:color="auto" w:fill="DBDBDB"/>
          </w:tcPr>
          <w:p>
            <w:pPr>
              <w:spacing w:after="0"/>
              <w:rPr>
                <w:sz w:val="19"/>
                <w:szCs w:val="19"/>
                <w:color w:val="auto"/>
              </w:rPr>
            </w:pPr>
          </w:p>
        </w:tc>
        <w:tc>
          <w:tcPr>
            <w:tcW w:w="1740" w:type="dxa"/>
            <w:vAlign w:val="bottom"/>
            <w:tcBorders>
              <w:top w:val="single" w:sz="8" w:color="DBDBDB"/>
            </w:tcBorders>
            <w:gridSpan w:val="2"/>
            <w:shd w:val="clear" w:color="auto" w:fill="DBDBDB"/>
          </w:tcPr>
          <w:p>
            <w:pPr>
              <w:spacing w:after="0"/>
              <w:rPr>
                <w:sz w:val="19"/>
                <w:szCs w:val="19"/>
                <w:color w:val="auto"/>
              </w:rPr>
            </w:pP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Repurchases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6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Shares issued for stock compensation</w:t>
            </w:r>
          </w:p>
        </w:tc>
        <w:tc>
          <w:tcPr>
            <w:tcW w:w="22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306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4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Balance, March 31</w:t>
            </w:r>
          </w:p>
        </w:tc>
        <w:tc>
          <w:tcPr>
            <w:tcW w:w="220" w:type="dxa"/>
            <w:vAlign w:val="bottom"/>
            <w:tcBorders>
              <w:bottom w:val="single" w:sz="8" w:color="DBDBDB"/>
            </w:tcBorders>
          </w:tcPr>
          <w:p>
            <w:pPr>
              <w:spacing w:after="0"/>
              <w:rPr>
                <w:sz w:val="19"/>
                <w:szCs w:val="19"/>
                <w:color w:val="auto"/>
              </w:rPr>
            </w:pPr>
          </w:p>
        </w:tc>
        <w:tc>
          <w:tcPr>
            <w:tcW w:w="90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320" w:type="dxa"/>
            <w:vAlign w:val="bottom"/>
            <w:tcBorders>
              <w:bottom w:val="single" w:sz="8" w:color="DBDBDB"/>
            </w:tcBorders>
          </w:tcPr>
          <w:p>
            <w:pPr>
              <w:spacing w:after="0"/>
              <w:rPr>
                <w:sz w:val="19"/>
                <w:szCs w:val="19"/>
                <w:color w:val="auto"/>
              </w:rPr>
            </w:pPr>
          </w:p>
        </w:tc>
        <w:tc>
          <w:tcPr>
            <w:tcW w:w="78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240" w:type="dxa"/>
            <w:vAlign w:val="bottom"/>
            <w:tcBorders>
              <w:bottom w:val="single" w:sz="8" w:color="DBDBDB"/>
            </w:tcBorders>
          </w:tcPr>
          <w:p>
            <w:pPr>
              <w:spacing w:after="0"/>
              <w:rPr>
                <w:sz w:val="19"/>
                <w:szCs w:val="19"/>
                <w:color w:val="auto"/>
              </w:rPr>
            </w:pPr>
          </w:p>
        </w:tc>
        <w:tc>
          <w:tcPr>
            <w:tcW w:w="86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800" w:type="dxa"/>
            <w:vAlign w:val="bottom"/>
            <w:tcBorders>
              <w:bottom w:val="single" w:sz="8" w:color="DBDBDB"/>
            </w:tcBorders>
          </w:tcPr>
          <w:p>
            <w:pPr>
              <w:spacing w:after="0"/>
              <w:rPr>
                <w:sz w:val="19"/>
                <w:szCs w:val="19"/>
                <w:color w:val="auto"/>
              </w:rPr>
            </w:pPr>
          </w:p>
        </w:tc>
        <w:tc>
          <w:tcPr>
            <w:tcW w:w="320" w:type="dxa"/>
            <w:vAlign w:val="bottom"/>
            <w:tcBorders>
              <w:bottom w:val="single" w:sz="8" w:color="DBDBDB"/>
            </w:tcBorders>
          </w:tcPr>
          <w:p>
            <w:pPr>
              <w:spacing w:after="0"/>
              <w:rPr>
                <w:sz w:val="19"/>
                <w:szCs w:val="19"/>
                <w:color w:val="auto"/>
              </w:rPr>
            </w:pPr>
          </w:p>
        </w:tc>
        <w:tc>
          <w:tcPr>
            <w:tcW w:w="1740" w:type="dxa"/>
            <w:vAlign w:val="bottom"/>
            <w:tcBorders>
              <w:bottom w:val="single" w:sz="8" w:color="DBDBDB"/>
            </w:tcBorders>
            <w:gridSpan w:val="2"/>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23"/>
        </w:trPr>
        <w:tc>
          <w:tcPr>
            <w:tcW w:w="34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Repurchases</w:t>
            </w:r>
          </w:p>
        </w:tc>
        <w:tc>
          <w:tcPr>
            <w:tcW w:w="22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740" w:type="dxa"/>
            <w:vAlign w:val="bottom"/>
            <w:gridSpan w:val="2"/>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Shares issued for stock compensation</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60" w:type="dxa"/>
            <w:vAlign w:val="bottom"/>
            <w:gridSpan w:val="3"/>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8"/>
        </w:trPr>
        <w:tc>
          <w:tcPr>
            <w:tcW w:w="342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Balance, June 30</w:t>
            </w:r>
          </w:p>
        </w:tc>
        <w:tc>
          <w:tcPr>
            <w:tcW w:w="220" w:type="dxa"/>
            <w:vAlign w:val="bottom"/>
            <w:tcBorders>
              <w:top w:val="single" w:sz="8" w:color="DBDBDB"/>
              <w:bottom w:val="single" w:sz="8" w:color="DBDBDB"/>
            </w:tcBorders>
            <w:shd w:val="clear" w:color="auto" w:fill="DBDBDB"/>
          </w:tcPr>
          <w:p>
            <w:pPr>
              <w:spacing w:after="0"/>
              <w:rPr>
                <w:sz w:val="21"/>
                <w:szCs w:val="21"/>
                <w:color w:val="auto"/>
              </w:rPr>
            </w:pPr>
          </w:p>
        </w:tc>
        <w:tc>
          <w:tcPr>
            <w:tcW w:w="900" w:type="dxa"/>
            <w:vAlign w:val="bottom"/>
            <w:tcBorders>
              <w:top w:val="single" w:sz="8" w:color="DBDBDB"/>
              <w:bottom w:val="single" w:sz="8" w:color="DBDBDB"/>
            </w:tcBorders>
            <w:shd w:val="clear" w:color="auto" w:fill="DBDBDB"/>
          </w:tcPr>
          <w:p>
            <w:pPr>
              <w:spacing w:after="0"/>
              <w:rPr>
                <w:sz w:val="21"/>
                <w:szCs w:val="21"/>
                <w:color w:val="auto"/>
              </w:rPr>
            </w:pP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20" w:type="dxa"/>
            <w:vAlign w:val="bottom"/>
            <w:tcBorders>
              <w:top w:val="single" w:sz="8" w:color="DBDBDB"/>
              <w:bottom w:val="single" w:sz="8" w:color="DBDBDB"/>
            </w:tcBorders>
            <w:shd w:val="clear" w:color="auto" w:fill="DBDBDB"/>
          </w:tcPr>
          <w:p>
            <w:pPr>
              <w:spacing w:after="0"/>
              <w:rPr>
                <w:sz w:val="21"/>
                <w:szCs w:val="21"/>
                <w:color w:val="auto"/>
              </w:rPr>
            </w:pPr>
          </w:p>
        </w:tc>
        <w:tc>
          <w:tcPr>
            <w:tcW w:w="780" w:type="dxa"/>
            <w:vAlign w:val="bottom"/>
            <w:tcBorders>
              <w:top w:val="single" w:sz="8" w:color="DBDBDB"/>
              <w:bottom w:val="single" w:sz="8" w:color="DBDBDB"/>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DBDBDB"/>
              <w:bottom w:val="single" w:sz="8" w:color="DBDBDB"/>
            </w:tcBorders>
            <w:shd w:val="clear" w:color="auto" w:fill="DBDBDB"/>
          </w:tcPr>
          <w:p>
            <w:pPr>
              <w:spacing w:after="0"/>
              <w:rPr>
                <w:sz w:val="21"/>
                <w:szCs w:val="21"/>
                <w:color w:val="auto"/>
              </w:rPr>
            </w:pPr>
          </w:p>
        </w:tc>
        <w:tc>
          <w:tcPr>
            <w:tcW w:w="860" w:type="dxa"/>
            <w:vAlign w:val="bottom"/>
            <w:tcBorders>
              <w:top w:val="single" w:sz="8" w:color="DBDBDB"/>
              <w:bottom w:val="single" w:sz="8" w:color="DBDBDB"/>
            </w:tcBorders>
            <w:shd w:val="clear" w:color="auto" w:fill="DBDBDB"/>
          </w:tcPr>
          <w:p>
            <w:pPr>
              <w:spacing w:after="0"/>
              <w:rPr>
                <w:sz w:val="21"/>
                <w:szCs w:val="21"/>
                <w:color w:val="auto"/>
              </w:rPr>
            </w:pP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800" w:type="dxa"/>
            <w:vAlign w:val="bottom"/>
            <w:tcBorders>
              <w:top w:val="single" w:sz="8" w:color="DBDBDB"/>
              <w:bottom w:val="single" w:sz="8" w:color="DBDBDB"/>
            </w:tcBorders>
            <w:shd w:val="clear" w:color="auto" w:fill="DBDBDB"/>
          </w:tcPr>
          <w:p>
            <w:pPr>
              <w:spacing w:after="0"/>
              <w:rPr>
                <w:sz w:val="21"/>
                <w:szCs w:val="21"/>
                <w:color w:val="auto"/>
              </w:rPr>
            </w:pPr>
          </w:p>
        </w:tc>
        <w:tc>
          <w:tcPr>
            <w:tcW w:w="320" w:type="dxa"/>
            <w:vAlign w:val="bottom"/>
            <w:tcBorders>
              <w:top w:val="single" w:sz="8" w:color="DBDBDB"/>
              <w:bottom w:val="single" w:sz="8" w:color="DBDBDB"/>
            </w:tcBorders>
            <w:shd w:val="clear" w:color="auto" w:fill="DBDBDB"/>
          </w:tcPr>
          <w:p>
            <w:pPr>
              <w:spacing w:after="0"/>
              <w:rPr>
                <w:sz w:val="21"/>
                <w:szCs w:val="21"/>
                <w:color w:val="auto"/>
              </w:rPr>
            </w:pPr>
          </w:p>
        </w:tc>
        <w:tc>
          <w:tcPr>
            <w:tcW w:w="1740" w:type="dxa"/>
            <w:vAlign w:val="bottom"/>
            <w:tcBorders>
              <w:top w:val="single" w:sz="8" w:color="DBDBDB"/>
              <w:bottom w:val="single" w:sz="8" w:color="DBDBDB"/>
            </w:tcBorders>
            <w:gridSpan w:val="2"/>
            <w:shd w:val="clear" w:color="auto" w:fill="DBDBDB"/>
          </w:tcPr>
          <w:p>
            <w:pPr>
              <w:spacing w:after="0"/>
              <w:rPr>
                <w:sz w:val="21"/>
                <w:szCs w:val="21"/>
                <w:color w:val="auto"/>
              </w:rPr>
            </w:pP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832</w:t>
            </w:r>
          </w:p>
        </w:tc>
        <w:tc>
          <w:tcPr>
            <w:tcW w:w="0" w:type="dxa"/>
            <w:vAlign w:val="bottom"/>
          </w:tcPr>
          <w:p>
            <w:pPr>
              <w:spacing w:after="0"/>
              <w:rPr>
                <w:sz w:val="1"/>
                <w:szCs w:val="1"/>
                <w:color w:val="auto"/>
              </w:rPr>
            </w:pPr>
          </w:p>
        </w:tc>
      </w:tr>
      <w:tr>
        <w:trPr>
          <w:trHeight w:val="20"/>
        </w:trPr>
        <w:tc>
          <w:tcPr>
            <w:tcW w:w="34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tcBorders>
          </w:tcPr>
          <w:p>
            <w:pPr>
              <w:spacing w:after="0" w:line="20" w:lineRule="exact"/>
              <w:rPr>
                <w:sz w:val="1"/>
                <w:szCs w:val="1"/>
                <w:color w:val="auto"/>
              </w:rPr>
            </w:pPr>
          </w:p>
        </w:tc>
        <w:tc>
          <w:tcPr>
            <w:tcW w:w="780" w:type="dxa"/>
            <w:vAlign w:val="bottom"/>
            <w:tcBorders>
              <w:top w:val="single" w:sz="8" w:color="DBDBDB"/>
              <w:bottom w:val="single" w:sz="8" w:color="DBDBDB"/>
            </w:tcBorders>
            <w:vMerge w:val="restart"/>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60" w:type="dxa"/>
            <w:vAlign w:val="bottom"/>
            <w:tcBorders>
              <w:top w:val="single" w:sz="8" w:color="DBDBDB"/>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5"/>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4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design and manufacture semiconductors that we sell to electronics designers and manufacturers all over the world. Technology is the foundation of our company, but ultimately, our objective and the best metric for owners to measure our progress is through the growth of free cash flow per share over the long term.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strategy to maximize long-term free cash flow per share growth has three elements:</w:t>
      </w:r>
    </w:p>
    <w:p>
      <w:pPr>
        <w:spacing w:after="0" w:line="225" w:lineRule="exact"/>
        <w:rPr>
          <w:sz w:val="20"/>
          <w:szCs w:val="20"/>
          <w:color w:val="auto"/>
        </w:rPr>
      </w:pPr>
    </w:p>
    <w:p>
      <w:pPr>
        <w:ind w:left="660" w:right="120" w:hanging="328"/>
        <w:spacing w:after="0" w:line="287"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great business model that is focused on analog and embedded processing products and built around four sustainable competitive advantages. The four sustainable competitive advantages are powerful in combination and provide tangible benefits:</w:t>
      </w:r>
    </w:p>
    <w:p>
      <w:pPr>
        <w:spacing w:after="0" w:line="44" w:lineRule="exact"/>
        <w:rPr>
          <w:rFonts w:ascii="Arial" w:cs="Arial" w:eastAsia="Arial" w:hAnsi="Arial"/>
          <w:sz w:val="18"/>
          <w:szCs w:val="18"/>
          <w:color w:val="auto"/>
        </w:rPr>
      </w:pPr>
    </w:p>
    <w:p>
      <w:pPr>
        <w:ind w:left="1060" w:hanging="404"/>
        <w:spacing w:after="0"/>
        <w:tabs>
          <w:tab w:leader="none" w:pos="10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strong foundation of manufacturing and technology that provides lower costs and greater control of our supply chain.</w:t>
      </w:r>
    </w:p>
    <w:p>
      <w:pPr>
        <w:spacing w:after="0" w:line="117" w:lineRule="exact"/>
        <w:rPr>
          <w:rFonts w:ascii="Arial" w:cs="Arial" w:eastAsia="Arial" w:hAnsi="Arial"/>
          <w:sz w:val="18"/>
          <w:szCs w:val="18"/>
          <w:color w:val="auto"/>
        </w:rPr>
      </w:pPr>
    </w:p>
    <w:p>
      <w:pPr>
        <w:ind w:left="980" w:right="240" w:hanging="324"/>
        <w:spacing w:after="0" w:line="287" w:lineRule="auto"/>
        <w:tabs>
          <w:tab w:leader="none" w:pos="1066"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broad portfolio of analog and embedded processing products that offers more opportunity per customer and more value for our investments.</w:t>
      </w:r>
    </w:p>
    <w:p>
      <w:pPr>
        <w:spacing w:after="0" w:line="44" w:lineRule="exact"/>
        <w:rPr>
          <w:rFonts w:ascii="Arial" w:cs="Arial" w:eastAsia="Arial" w:hAnsi="Arial"/>
          <w:sz w:val="18"/>
          <w:szCs w:val="18"/>
          <w:color w:val="auto"/>
        </w:rPr>
      </w:pPr>
    </w:p>
    <w:p>
      <w:pPr>
        <w:ind w:left="980" w:right="640" w:hanging="324"/>
        <w:spacing w:after="0" w:line="287" w:lineRule="auto"/>
        <w:tabs>
          <w:tab w:leader="none" w:pos="1063"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reach of our market channels that gives access to more customers and more of their design projects, leading to the opportunity to sell more of our products into each design and gives us better insight and knowledge of customer needs.</w:t>
      </w:r>
    </w:p>
    <w:p>
      <w:pPr>
        <w:spacing w:after="0" w:line="44" w:lineRule="exact"/>
        <w:rPr>
          <w:rFonts w:ascii="Arial" w:cs="Arial" w:eastAsia="Arial" w:hAnsi="Arial"/>
          <w:sz w:val="18"/>
          <w:szCs w:val="18"/>
          <w:color w:val="auto"/>
        </w:rPr>
      </w:pPr>
    </w:p>
    <w:p>
      <w:pPr>
        <w:ind w:left="980" w:right="200" w:hanging="324"/>
        <w:spacing w:after="0" w:line="287" w:lineRule="auto"/>
        <w:tabs>
          <w:tab w:leader="none" w:pos="1076"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Diversity and longevity of our products, markets and customer positions that provide less single point dependency and longer returns on our investments.</w:t>
      </w:r>
    </w:p>
    <w:p>
      <w:pPr>
        <w:spacing w:after="0" w:line="45" w:lineRule="exact"/>
        <w:rPr>
          <w:sz w:val="20"/>
          <w:szCs w:val="20"/>
          <w:color w:val="auto"/>
        </w:rPr>
      </w:pPr>
    </w:p>
    <w:p>
      <w:pPr>
        <w:ind w:left="660"/>
        <w:spacing w:after="0" w:line="268" w:lineRule="auto"/>
        <w:rPr>
          <w:sz w:val="20"/>
          <w:szCs w:val="20"/>
          <w:color w:val="auto"/>
        </w:rPr>
      </w:pPr>
      <w:r>
        <w:rPr>
          <w:rFonts w:ascii="Arial" w:cs="Arial" w:eastAsia="Arial" w:hAnsi="Arial"/>
          <w:sz w:val="18"/>
          <w:szCs w:val="18"/>
          <w:color w:val="auto"/>
        </w:rPr>
        <w:t>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spacing w:after="0" w:line="63" w:lineRule="exact"/>
        <w:rPr>
          <w:sz w:val="20"/>
          <w:szCs w:val="20"/>
          <w:color w:val="auto"/>
        </w:rPr>
      </w:pPr>
    </w:p>
    <w:p>
      <w:pPr>
        <w:ind w:left="660" w:right="200" w:hanging="328"/>
        <w:spacing w:after="0" w:line="287"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Discipline in allocating capital to the best opportunities. This spans how we select R&amp;D projects, develop new capabilities, invest in manufacturing capacity or how we think about acquisitions and returning cash to our owners.</w:t>
      </w:r>
    </w:p>
    <w:p>
      <w:pPr>
        <w:spacing w:after="0" w:line="44" w:lineRule="exact"/>
        <w:rPr>
          <w:rFonts w:ascii="Arial" w:cs="Arial" w:eastAsia="Arial" w:hAnsi="Arial"/>
          <w:sz w:val="18"/>
          <w:szCs w:val="18"/>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Efficiency, which means constantly striving for more output for every dollar spent.</w:t>
      </w:r>
    </w:p>
    <w:p>
      <w:pPr>
        <w:spacing w:after="0" w:line="22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business characteristics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Markets for our products</w:t>
      </w:r>
    </w:p>
    <w:p>
      <w:pPr>
        <w:spacing w:after="0" w:line="22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major markets for our products are industrial, automotive, personal electronics, enterprise systems, communications equipment and other. See our 2024 Form 10-K for more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“semiconductor cycle” refers to the ebb and flow of supply and demand and the building and depleting of inventories. The semiconductor market historically has been characterized by periods of tight supply caused by strengthening demand and/or insufficient manufacturing capacity, followed by periods of surplus inventory caused by weakening demand and/or excess manufacturing capacity. These are typically referred to as upturns and downturns in the semiconductor cycle. Semiconductor cycles are affected by the significant time and money required to build and maintain semiconductor manufacturing facilities.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Our revenue is subject to some seasonal variation. Historically, our sequential revenue growth rate tends to be weaker in the first and fourth quarters when compared with the second and third quarters.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Manufacturing</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invest to make manufacturing and technology a core competitive advantage. The strategic decision to own our manufacturing, process and packaging technology provides us with tangible benefits of lower manufacturing costs and greater control of our supply chain and provides our customers with geopolitically dependable capacity. We own and operate both wafer fabrication and assembly/test facilities in North America, Asia, Japan and Europe. We have focused on creating a competitive structural cost advantage by investing in our 300mm wafer production, which describes the diameter of the wafer on which our chips are produced, and costs about 40% less than a chip built on a 200mm wafer. In addition, we selectively use capacity of outside suppliers, commonly known as foundries and subcontractors.</w:t>
      </w:r>
    </w:p>
    <w:p>
      <w:pPr>
        <w:spacing w:after="0" w:line="169"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We continue to invest to strengthen our competitive advantage in manufacturing and technology as part of our long-term capacity plan. We are now mostly through a six-year elevated capital expenditures cycle that, when completed, will uniquely position TI to deliver dependable, low-cost 300mm capacity, scalability of capital expenditures, including capacity modularity, and free cash flow per share growth across a range of market conditions.</w:t>
      </w:r>
    </w:p>
    <w:p>
      <w:pPr>
        <w:spacing w:after="0" w:line="18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With our planned capacity expansions to support demand over time, we expect our internal sourcing to continue to increase. As our Lehi, Utah, manufacturing facility is in the early ramping stages, Embedded Processing is disproportionately impacted by costs associated with the site’s capacity expansion. We expect to continue to maintain sufficient internal manufacturing capacity to meet the majority of our production needs and to obtain manufacturing equipment to support new technology developments and revenue growth.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Our objectives for inventory are to maintain high levels of customer service, maintain dependable and competitive lead times, minimize inventory obsolescence and improve manufacturing asset utilization. To meet these objectives and to allow greater flexibility in periods of high demand, our strategy is to build ahead of demand our broad-based products that are used across a diverse set of applications and customers and have low risk of obsolescence. Inventory levels will vary based on market conditions and seasonality.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53" w:lineRule="exact"/>
        <w:rPr>
          <w:sz w:val="20"/>
          <w:szCs w:val="20"/>
          <w:color w:val="auto"/>
        </w:rPr>
      </w:pPr>
    </w:p>
    <w:p>
      <w:pPr>
        <w:ind w:left="620" w:hanging="329"/>
        <w:spacing w:after="0" w:line="268" w:lineRule="auto"/>
        <w:tabs>
          <w:tab w:leader="none" w:pos="6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1300" w:right="240" w:hanging="320"/>
        <w:spacing w:after="0" w:line="287" w:lineRule="auto"/>
        <w:tabs>
          <w:tab w:leader="none" w:pos="1296" w:val="left"/>
        </w:tabs>
        <w:numPr>
          <w:ilvl w:val="1"/>
          <w:numId w:val="12"/>
        </w:numPr>
        <w:rPr>
          <w:rFonts w:ascii="Arial" w:cs="Arial" w:eastAsia="Arial" w:hAnsi="Arial"/>
          <w:sz w:val="18"/>
          <w:szCs w:val="18"/>
          <w:color w:val="auto"/>
        </w:rPr>
      </w:pP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44" w:lineRule="exact"/>
        <w:rPr>
          <w:rFonts w:ascii="Arial" w:cs="Arial" w:eastAsia="Arial" w:hAnsi="Arial"/>
          <w:sz w:val="18"/>
          <w:szCs w:val="18"/>
          <w:color w:val="auto"/>
        </w:rPr>
      </w:pPr>
    </w:p>
    <w:p>
      <w:pPr>
        <w:ind w:left="1300" w:right="480" w:hanging="320"/>
        <w:spacing w:after="0" w:line="287" w:lineRule="auto"/>
        <w:tabs>
          <w:tab w:leader="none" w:pos="1296" w:val="left"/>
        </w:tabs>
        <w:numPr>
          <w:ilvl w:val="1"/>
          <w:numId w:val="12"/>
        </w:numPr>
        <w:rPr>
          <w:rFonts w:ascii="Arial" w:cs="Arial" w:eastAsia="Arial" w:hAnsi="Arial"/>
          <w:sz w:val="18"/>
          <w:szCs w:val="18"/>
          <w:color w:val="auto"/>
        </w:rPr>
      </w:pPr>
      <w:r>
        <w:rPr>
          <w:rFonts w:ascii="Arial" w:cs="Arial" w:eastAsia="Arial" w:hAnsi="Arial"/>
          <w:sz w:val="18"/>
          <w:szCs w:val="18"/>
          <w:color w:val="auto"/>
        </w:rPr>
        <w:t>New products do not tend to have a significant impact on our revenue in any given period because we sell such a large number of products.</w:t>
      </w:r>
    </w:p>
    <w:p>
      <w:pPr>
        <w:spacing w:after="0" w:line="44" w:lineRule="exact"/>
        <w:rPr>
          <w:rFonts w:ascii="Arial" w:cs="Arial" w:eastAsia="Arial" w:hAnsi="Arial"/>
          <w:sz w:val="18"/>
          <w:szCs w:val="18"/>
          <w:color w:val="auto"/>
        </w:rPr>
      </w:pPr>
    </w:p>
    <w:p>
      <w:pPr>
        <w:ind w:left="1300" w:right="740" w:hanging="320"/>
        <w:spacing w:after="0" w:line="287" w:lineRule="auto"/>
        <w:tabs>
          <w:tab w:leader="none" w:pos="1296" w:val="left"/>
        </w:tabs>
        <w:numPr>
          <w:ilvl w:val="1"/>
          <w:numId w:val="12"/>
        </w:numPr>
        <w:rPr>
          <w:rFonts w:ascii="Arial" w:cs="Arial" w:eastAsia="Arial" w:hAnsi="Arial"/>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44" w:lineRule="exact"/>
        <w:rPr>
          <w:rFonts w:ascii="Arial" w:cs="Arial" w:eastAsia="Arial" w:hAnsi="Arial"/>
          <w:sz w:val="18"/>
          <w:szCs w:val="18"/>
          <w:color w:val="auto"/>
        </w:rPr>
      </w:pPr>
    </w:p>
    <w:p>
      <w:pPr>
        <w:ind w:left="1300" w:right="480" w:hanging="320"/>
        <w:spacing w:after="0" w:line="262" w:lineRule="auto"/>
        <w:tabs>
          <w:tab w:leader="none" w:pos="1296" w:val="left"/>
        </w:tabs>
        <w:numPr>
          <w:ilvl w:val="1"/>
          <w:numId w:val="12"/>
        </w:numPr>
        <w:rPr>
          <w:rFonts w:ascii="Arial" w:cs="Arial" w:eastAsia="Arial" w:hAnsi="Arial"/>
          <w:sz w:val="18"/>
          <w:szCs w:val="18"/>
          <w:color w:val="auto"/>
        </w:rPr>
      </w:pPr>
      <w:r>
        <w:rPr>
          <w:rFonts w:ascii="Arial" w:cs="Arial" w:eastAsia="Arial" w:hAnsi="Arial"/>
          <w:sz w:val="18"/>
          <w:szCs w:val="18"/>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w:t>
      </w:r>
    </w:p>
    <w:p>
      <w:pPr>
        <w:spacing w:after="0" w:line="68" w:lineRule="exact"/>
        <w:rPr>
          <w:rFonts w:ascii="Arial" w:cs="Arial" w:eastAsia="Arial" w:hAnsi="Arial"/>
          <w:sz w:val="18"/>
          <w:szCs w:val="18"/>
          <w:color w:val="auto"/>
        </w:rPr>
      </w:pPr>
    </w:p>
    <w:p>
      <w:pPr>
        <w:ind w:left="620" w:hanging="32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an explanation of free cash flow, see the Non-GAAP financial information section.</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Performance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second quarter revenue was $4.45 billion, net income was $1.30 billion and earnings per share (EPS) were $1.41.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9% sequentially, led by continued broad recovery in industrial, and 16% from the same quarter a year ago.</w:t>
      </w:r>
    </w:p>
    <w:p>
      <w:pPr>
        <w:spacing w:after="0" w:line="22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Our cash flow from operations of $6.4 billion for the trailing 12 months again underscored the strength of our business model, the quality of our product portfolio and the benefit of 300mm production. Free cash flow for the same period was $1.8 billion.</w:t>
      </w:r>
    </w:p>
    <w:p>
      <w:pPr>
        <w:spacing w:after="0" w:line="15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Over the past 12 months we invested $3.9 billion in R&amp;D and SG&amp;A, invested $4.9 billion in capital expenditures and returned $6.7 billion to shareholders.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Macroeconomic factors</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believe tariffs and geopolitics are disrupting and reshaping global supply chains and affecting customer order behavior. Our global manufacturing capabilities enable us to support our customers’ needs. We also believe the semiconductor cycle recovery is continuing, while customer inventories remain at low levels.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legislative update</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July 4, 2025, the U.S. government enacted the One Big Beautiful Bill Act (OBBBA). The OBBBA provides changes to U.S. federal tax law, including expensing of U.S. research expenditures and eligible capital expenditures, increasing the U.S. CHIPS and Science Act (CHIPS Act) investment tax credit (ITC) and changing other tax provisions. The new law did not impact our financial condition and results of operations during the second quarter. We are currently evaluating the impact of the legislation on future periods. Based on our initial assessment, the changes are expected to result in a higher effective tax rate in the third quarter and full year 2025. For 2026 and beyond, we expect the effective tax rate to be lower than it would have been under prior tax law. Additionally, we expect tax-related cash payments to be lower for the next several years as a result of the changes.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 – second quarter 2025 compared with second quarter 2024</w:t>
      </w:r>
    </w:p>
    <w:p>
      <w:pPr>
        <w:spacing w:after="0" w:line="22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Revenue of $ 4.45 billion increased $626 million, or 16%, due to higher revenue from increased demand in our Analog segment and, to a lesser extent, in our Embedded Processing segment, which were both impacted by the macroeconomic factors discussed above.</w:t>
      </w:r>
    </w:p>
    <w:p>
      <w:pPr>
        <w:spacing w:after="0" w:line="15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Gross profit of $2.58 billion was up $364 million, or 16%, due to higher revenue. Our gross profit also benefited from reduced manufacturing costs related to increased factory loadings, offset by costs associated with our planned capacity expansions. As a percentage of revenue, gross profit increased to 57.9% from 57.8%.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(R&amp;D and SG&amp;A) were $1.01 billion compared with $963 million.</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Operating profit was $1.56 billion, or 35.1% of revenue, compared with $1.25 billion, or 32.7% of revenue. This increase was primarily due to higher revenue and associated gross profit.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OI&amp;E was $48 million of income compared with $130 million of income. This decrease was due to lower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and debt expense of $133 million increased $2 million. See Note 6 to the financial statements.</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provision for income taxes was $183 million compared with $ 120 million. This increase was due to higher income before income taxes and lower discrete tax benefits of $34 million, due to stock-based compensation. Our effective tax rate, which includes discrete tax items, was 12% compared with 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$1.30 billion compared with $1.13 billion. EPS was $1.41 compared with $1.22.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Second quarter 2025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quarter are as follows: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(includes Power and Signal Chain product lines)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Q2 2025</w:t>
            </w:r>
          </w:p>
        </w:tc>
        <w:tc>
          <w:tcPr>
            <w:tcW w:w="26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Q2 2024</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3,452</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2,928</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18 %</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b w:val="1"/>
                <w:bCs w:val="1"/>
                <w:color w:val="auto"/>
              </w:rPr>
              <w:t>1,325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38.4 %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35.8 %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9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Analog revenue increased in Power and, to a lesser extent, Signal Chain, due to higher demand, which was impacted by the macroeconomic factors discussed above. Operating profit increased primarily due to higher revenue and associated gross profit.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(includes microcontrollers and processors)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Q2 2025</w:t>
            </w: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Q2 2024</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679</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615</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12.5 %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13.0 %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Embedded Processing revenue increased due to higher demand, which was impacted by the macroeconomic factors discussed above.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increased primarily due to higher revenue, partially offset by increased manufacturing costs and R&amp;D expenses.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10"/>
          <w:szCs w:val="10"/>
          <w:i w:val="1"/>
          <w:iCs w:val="1"/>
          <w:color w:val="auto"/>
        </w:rPr>
        <w:t>®</w:t>
      </w:r>
      <w:r>
        <w:rPr>
          <w:rFonts w:ascii="Arial" w:cs="Arial" w:eastAsia="Arial" w:hAnsi="Arial"/>
          <w:sz w:val="18"/>
          <w:szCs w:val="18"/>
          <w:i w:val="1"/>
          <w:iCs w:val="1"/>
          <w:color w:val="auto"/>
        </w:rPr>
        <w:t xml:space="preserve"> products, calculators and custom ASIC products)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Q2 2025</w:t>
            </w: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Q2 2024</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317</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279</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153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29"/>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48.3 %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43.4 %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Other revenue increased $38 million, and operating profit increased $32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 – first six months of 2025 compared with first six months of 2024</w:t>
      </w:r>
    </w:p>
    <w:p>
      <w:pPr>
        <w:spacing w:after="0" w:line="22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Revenue of $ 8.52 billion increased $1.03 billion, or 14%, due to higher revenue from increased demand in our Analog segment and, to a lesser extent, in our Embedded Processing segment, which were both impacted by the macroeconomic factors discussed above.</w:t>
      </w:r>
    </w:p>
    <w:p>
      <w:pPr>
        <w:spacing w:after="0" w:line="15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Gross profit of $4.89 billion was up $582 million, or 14%, due to higher revenue. Our gross profit also benefited from reduced manufacturing costs related to increased factory loadings, partially offset by costs associated with our planned capacity expansions. As a percentage of revenue, gross profit decreased to 57.4% from 57.5%.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$2.00 billion compared with $1.90 billion.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in the year-ago period was a credit of $124 million primarily due to a gain on the sale of a property during 2024.</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Operating profit was $2.89 billion, or 33.9% of revenue, compared with $2.53 billion, or 33.9% of revenue. This increase was primarily due to higher revenue and associated gross profit.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OI&amp;E was $128 million of income compared with $253 million of income. This decrease was due to lower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and debt expense of $261 million increased $14 million.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1" w:name="page22"/>
    <w:bookmarkEnd w:id="21"/>
    <w:p>
      <w:pPr>
        <w:ind w:right="280"/>
        <w:spacing w:after="0" w:line="268" w:lineRule="auto"/>
        <w:rPr>
          <w:sz w:val="20"/>
          <w:szCs w:val="20"/>
          <w:color w:val="auto"/>
        </w:rPr>
      </w:pPr>
      <w:r>
        <w:rPr>
          <w:rFonts w:ascii="Arial" w:cs="Arial" w:eastAsia="Arial" w:hAnsi="Arial"/>
          <w:sz w:val="18"/>
          <w:szCs w:val="18"/>
          <w:color w:val="auto"/>
        </w:rPr>
        <w:t>Our provision for income taxes was $280 million compared with $308 million. This decrease was due to higher discrete tax benefits of $47 million, primarily related to our non-U.S. operations, partially offset by higher income before income taxes. Our effective tax rate, which includes discrete tax items, was 10% compared with 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$2.47 billion compared with $2.23 billion. EPS was $2.69 compared with $2.42.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Year-to-date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period are as follows: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YTD 2025</w:t>
            </w:r>
          </w:p>
        </w:tc>
        <w:tc>
          <w:tcPr>
            <w:tcW w:w="24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YTD 2024</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6,662</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5,764</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2,531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2,055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29"/>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38.0 %</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35.7 %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9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Analog revenue increased in Power and, to a lesser extent, Signal Chain, due to higher demand, which was impacted by the macroeconomic factors discussed above. Operating profit increased primarily due to higher revenue and associated gross profit.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YTD 2025</w:t>
            </w:r>
          </w:p>
        </w:tc>
        <w:tc>
          <w:tcPr>
            <w:tcW w:w="24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YTD 2024</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1,326</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1,267</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5 %</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125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9.4 %</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14.6 %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Embedded Processing revenue increased due to higher demand, which was impacted by the macroeconomic factors discussed above.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decreased primarily due to higher manufacturing costs and R&amp;D expenses, partially offset by higher revenue.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YTD 2025</w:t>
            </w:r>
          </w:p>
        </w:tc>
        <w:tc>
          <w:tcPr>
            <w:tcW w:w="24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YTD 2024</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529</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452</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Operating profit *</w:t>
            </w:r>
          </w:p>
        </w:tc>
        <w:tc>
          <w:tcPr>
            <w:tcW w:w="22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8"/>
                <w:szCs w:val="18"/>
                <w:b w:val="1"/>
                <w:bCs w:val="1"/>
                <w:color w:val="auto"/>
              </w:rPr>
              <w:t>231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43.7 %</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65.0 %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r>
        <w:trPr>
          <w:trHeight w:val="239"/>
        </w:trPr>
        <w:tc>
          <w:tcPr>
            <w:tcW w:w="7020" w:type="dxa"/>
            <w:vAlign w:val="bottom"/>
          </w:tcPr>
          <w:p>
            <w:pPr>
              <w:ind w:left="20"/>
              <w:spacing w:after="0"/>
              <w:rPr>
                <w:sz w:val="20"/>
                <w:szCs w:val="20"/>
                <w:color w:val="auto"/>
              </w:rPr>
            </w:pPr>
            <w:r>
              <w:rPr>
                <w:rFonts w:ascii="Arial" w:cs="Arial" w:eastAsia="Arial" w:hAnsi="Arial"/>
                <w:sz w:val="18"/>
                <w:szCs w:val="18"/>
                <w:color w:val="auto"/>
              </w:rPr>
              <w:t>* Includes Restructuring charges/other</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Other revenue increased $77 million, and operating profit decreased $63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At the end of the second quarter of 2025, total cash (cash and cash equivalents plus short-term investments) was $5.36 billion, a decrease of $2.22 billion from the end of 2024.</w:t>
      </w:r>
    </w:p>
    <w:p>
      <w:pPr>
        <w:spacing w:after="0" w:line="15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Accounts receivable were $ 1.93 billion, an increase of $215 million compared with the end of 2024. Days sales outstanding were 39 for both the second quarter of 2025 and at the end of 2024.</w:t>
      </w:r>
    </w:p>
    <w:p>
      <w:pPr>
        <w:spacing w:after="0" w:line="153"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Inventory was $4.81 billion, an increase of $285 million from the end of 2024. Days of inventory for the second quarter of 2025 were 231 compared with 241 at the end of 2024, which reflects the continued execution of our inventory strategy.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access to debt markets. We also have a variable-rate, revolving credit facility. As of June 30, 2025, our credit facility was undrawn, and we had no commercial paper outstanding. Cash flows from operating activities for the first six months of 2025 were</w:t>
      </w:r>
    </w:p>
    <w:p>
      <w:pPr>
        <w:spacing w:after="0" w:line="1" w:lineRule="exact"/>
        <w:rPr>
          <w:sz w:val="20"/>
          <w:szCs w:val="20"/>
          <w:color w:val="auto"/>
        </w:rPr>
      </w:pPr>
    </w:p>
    <w:p>
      <w:pPr>
        <w:jc w:val="both"/>
        <w:ind w:right="140"/>
        <w:spacing w:after="0" w:line="258" w:lineRule="auto"/>
        <w:rPr>
          <w:sz w:val="20"/>
          <w:szCs w:val="20"/>
          <w:color w:val="auto"/>
        </w:rPr>
      </w:pPr>
      <w:r>
        <w:rPr>
          <w:rFonts w:ascii="Arial" w:cs="Arial" w:eastAsia="Arial" w:hAnsi="Arial"/>
          <w:sz w:val="18"/>
          <w:szCs w:val="18"/>
          <w:color w:val="auto"/>
        </w:rPr>
        <w:t>$2.71 billion, an increase of $ 121 million from the year-ago period primarily due to higher net income and non-cash items, partially offset by higher cash used for working capital. Cash flows from operating activities for the first six months of 2025 and 2024 includes cash benefits of $203 million and $312 million, respectively, from the CHIPS Act ITC used to reduce income taxes payable.</w:t>
      </w:r>
    </w:p>
    <w:p>
      <w:pPr>
        <w:spacing w:after="0" w:line="17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Investing activities for the first six months of 2025 used $82 million compared with $3.33 billion in the year-ago period. Capital expenditures were $2.43 billion compared with $2.31 billion in the year-ago period and were primarily for semiconductor manufacturing equipment and facilities in both periods. In 2025, we received proceeds of $ 260 million from CHIPS Act incentives. Short-term investments provided cash of $2.10 billion compared with $1.20 billion of cash used in the year-ago period.</w:t>
      </w:r>
    </w:p>
    <w:p>
      <w:pPr>
        <w:spacing w:after="0" w:line="16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are now mostly through a six-year elevated capital expenditures cycle, and consistent with our capital management strategy, we are currently evaluating our capital expenditure levels to determine if they will remain at elevated levels in 2026 and beyond, dependent on revenue and growth expectations. For qualifying manufacturing investments, we expect to benefit from the 25% ITC established by the CHIPS Act, as well as direct funding of up to $1.6 billion for our three large-scale 300mm wafer fabs currently under construction in Sherman, Texas, and Lehi, Utah. The U.S. tax law changes within the OBBBA included an increase to the CHIPS Act ITC from 25% to 35% for qualifying manufacturing investments placed in service after December 31, 2025.</w:t>
      </w:r>
    </w:p>
    <w:p>
      <w:pPr>
        <w:spacing w:after="0" w:line="19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Financing activities for the first six months of 2025 used $2.78 billion compared with $517 million of cash provided in the year-ago period. In 2025, we received net proceeds of $1.20 billion from the issuance of fixed-rate, long-term debt and retired maturing debt of $750 million. In the year-ago period, we received net proceeds of $2.98 billion from the issuance of fixed-rate, long-term debt and retired maturing debt of $300 million. Dividends paid were $2.47 billion compared with $2.37 billion in the year-ago period, reflecting an increased dividend rate. We used $955 million to repurchase 5.4 million shares of our common stock compared with $74 million to repurchase 0.4 million shares in the year-ago period. Employee exercises of stock options provided cash proceeds of $233 million compared with $313 million in the year-ago period.</w:t>
      </w:r>
    </w:p>
    <w:p>
      <w:pPr>
        <w:spacing w:after="0" w:line="18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had $3.04 billion of cash and cash equivalents and $2.32 billion of short-term investments as of June 30, 2025. We believe we have the necessary financial resources and operating plans to fund our working capital needs, capital expenditures, dividend and debt-related payments, and other business requirements for at least the next 12 months.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This MD&amp;A includes references to free cash flow and ratios based on that measure. These are financial measures that were not prepared in accordance with generally accepted accounting principles in the United States (GAAP). Free cash flow is calculated as cash flows from operating activities (also referred to as cash flow from operations) less capital expenditures, plus proceeds from CHIPS Act incentives.</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For 12 Months Ended</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7"/>
        </w:trPr>
        <w:tc>
          <w:tcPr>
            <w:tcW w:w="700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7"/>
                <w:szCs w:val="17"/>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 *</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6,439</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ind w:right="132"/>
              <w:spacing w:after="0"/>
              <w:rPr>
                <w:sz w:val="20"/>
                <w:szCs w:val="20"/>
                <w:color w:val="auto"/>
              </w:rPr>
            </w:pPr>
            <w:r>
              <w:rPr>
                <w:rFonts w:ascii="Arial" w:cs="Arial" w:eastAsia="Arial" w:hAnsi="Arial"/>
                <w:sz w:val="18"/>
                <w:szCs w:val="18"/>
                <w:color w:val="auto"/>
              </w:rPr>
              <w:t>6,449</w:t>
            </w: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0 %</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19"/>
                <w:szCs w:val="19"/>
                <w:color w:val="auto"/>
              </w:rPr>
            </w:pPr>
          </w:p>
        </w:tc>
        <w:tc>
          <w:tcPr>
            <w:tcW w:w="1040" w:type="dxa"/>
            <w:vAlign w:val="bottom"/>
          </w:tcPr>
          <w:p>
            <w:pPr>
              <w:jc w:val="right"/>
              <w:ind w:right="115"/>
              <w:spacing w:after="0"/>
              <w:rPr>
                <w:sz w:val="20"/>
                <w:szCs w:val="20"/>
                <w:color w:val="auto"/>
              </w:rPr>
            </w:pPr>
            <w:r>
              <w:rPr>
                <w:rFonts w:ascii="Arial" w:cs="Arial" w:eastAsia="Arial" w:hAnsi="Arial"/>
                <w:sz w:val="18"/>
                <w:szCs w:val="18"/>
                <w:b w:val="1"/>
                <w:bCs w:val="1"/>
                <w:color w:val="auto"/>
              </w:rPr>
              <w:t>(4,936)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(4,955)</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from CHIPS Act incentives</w:t>
            </w:r>
          </w:p>
        </w:tc>
        <w:tc>
          <w:tcPr>
            <w:tcW w:w="32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260</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Free cash flow (non-GAAP)</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1,763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1,494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18 %</w:t>
            </w:r>
          </w:p>
        </w:tc>
      </w:tr>
      <w:tr>
        <w:trPr>
          <w:trHeight w:val="20"/>
        </w:trPr>
        <w:tc>
          <w:tcPr>
            <w:tcW w:w="700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320" w:type="dxa"/>
            <w:vAlign w:val="bottom"/>
            <w:tcBorders>
              <w:bottom w:val="single" w:sz="8" w:color="DBDBDB"/>
            </w:tcBorders>
          </w:tcPr>
          <w:p>
            <w:pPr>
              <w:spacing w:after="0" w:line="20" w:lineRule="exact"/>
              <w:rPr>
                <w:sz w:val="1"/>
                <w:szCs w:val="1"/>
                <w:color w:val="auto"/>
              </w:rPr>
            </w:pPr>
          </w:p>
        </w:tc>
      </w:tr>
      <w:tr>
        <w:trPr>
          <w:trHeight w:val="183"/>
        </w:trPr>
        <w:tc>
          <w:tcPr>
            <w:tcW w:w="700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16,675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16,092</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
        </w:trPr>
        <w:tc>
          <w:tcPr>
            <w:tcW w:w="700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320" w:type="dxa"/>
            <w:vAlign w:val="bottom"/>
            <w:tcBorders>
              <w:bottom w:val="single" w:sz="8" w:color="DBDBDB"/>
            </w:tcBorders>
          </w:tcPr>
          <w:p>
            <w:pPr>
              <w:spacing w:after="0" w:line="20" w:lineRule="exact"/>
              <w:rPr>
                <w:sz w:val="1"/>
                <w:szCs w:val="1"/>
                <w:color w:val="auto"/>
              </w:rPr>
            </w:pPr>
          </w:p>
        </w:tc>
      </w:tr>
      <w:tr>
        <w:trPr>
          <w:trHeight w:val="183"/>
        </w:trPr>
        <w:tc>
          <w:tcPr>
            <w:tcW w:w="700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38.6 %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40.1 %</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10.6 %</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9.3 %</w:t>
            </w: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r>
    </w:tbl>
    <w:p>
      <w:pPr>
        <w:spacing w:after="0" w:line="184" w:lineRule="exact"/>
        <w:rPr>
          <w:sz w:val="20"/>
          <w:szCs w:val="20"/>
          <w:color w:val="auto"/>
        </w:rPr>
      </w:pPr>
    </w:p>
    <w:p>
      <w:pPr>
        <w:ind w:left="180" w:right="20" w:hanging="172"/>
        <w:spacing w:after="0" w:line="287" w:lineRule="auto"/>
        <w:tabs>
          <w:tab w:leader="none" w:pos="13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cash benefits of $479 million and $312 million from the CHIPS Act ITC used to reduce income taxes payable for the twelve months ended June 30, 2025 and 2024, respectively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890" w:right="5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Information with respect to legal proceedings can be found in Note 8 to the financial statements.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SEC regulation, we have elected to use a disclosure threshold of $1 million in monetary sanctions for environmental proceedings involving a governmental authority.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Information concerning our risk factors is contained in Item 1A of our Form 10-K for the year ended December 31, 2024, and is incorporated by reference 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4"/>
                <w:szCs w:val="14"/>
                <w:color w:val="auto"/>
              </w:rPr>
            </w:pPr>
          </w:p>
        </w:tc>
        <w:tc>
          <w:tcPr>
            <w:tcW w:w="1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54"/>
        </w:trPr>
        <w:tc>
          <w:tcPr>
            <w:tcW w:w="4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100" w:type="dxa"/>
            <w:vAlign w:val="bottom"/>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gridSpan w:val="2"/>
            <w:vMerge w:val="restart"/>
          </w:tcPr>
          <w:p>
            <w:pPr>
              <w:jc w:val="center"/>
              <w:spacing w:after="0" w:line="14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36"/>
        </w:trPr>
        <w:tc>
          <w:tcPr>
            <w:tcW w:w="4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Average Price</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100" w:type="dxa"/>
            <w:vAlign w:val="bottom"/>
          </w:tcPr>
          <w:p>
            <w:pPr>
              <w:spacing w:after="0"/>
              <w:rPr>
                <w:sz w:val="3"/>
                <w:szCs w:val="3"/>
                <w:color w:val="auto"/>
              </w:rPr>
            </w:pPr>
          </w:p>
        </w:tc>
        <w:tc>
          <w:tcPr>
            <w:tcW w:w="1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4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Purchased Under the Plans</w:t>
            </w:r>
          </w:p>
        </w:tc>
        <w:tc>
          <w:tcPr>
            <w:tcW w:w="0" w:type="dxa"/>
            <w:vAlign w:val="bottom"/>
          </w:tcPr>
          <w:p>
            <w:pPr>
              <w:spacing w:after="0"/>
              <w:rPr>
                <w:sz w:val="1"/>
                <w:szCs w:val="1"/>
                <w:color w:val="auto"/>
              </w:rPr>
            </w:pPr>
          </w:p>
        </w:tc>
      </w:tr>
      <w:tr>
        <w:trPr>
          <w:trHeight w:val="189"/>
        </w:trPr>
        <w:tc>
          <w:tcPr>
            <w:tcW w:w="4260" w:type="dxa"/>
            <w:vAlign w:val="bottom"/>
            <w:gridSpan w:val="2"/>
            <w:vMerge w:val="continue"/>
          </w:tcPr>
          <w:p>
            <w:pPr>
              <w:spacing w:after="0"/>
              <w:rPr>
                <w:sz w:val="16"/>
                <w:szCs w:val="16"/>
                <w:color w:val="auto"/>
              </w:rPr>
            </w:pPr>
          </w:p>
        </w:tc>
        <w:tc>
          <w:tcPr>
            <w:tcW w:w="1700" w:type="dxa"/>
            <w:vAlign w:val="bottom"/>
          </w:tcPr>
          <w:p>
            <w:pPr>
              <w:jc w:val="right"/>
              <w:ind w:right="396"/>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Paid per Share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Plans or Programs (a)</w:t>
            </w:r>
          </w:p>
        </w:tc>
        <w:tc>
          <w:tcPr>
            <w:tcW w:w="100" w:type="dxa"/>
            <w:vAlign w:val="bottom"/>
          </w:tcPr>
          <w:p>
            <w:pPr>
              <w:spacing w:after="0"/>
              <w:rPr>
                <w:sz w:val="16"/>
                <w:szCs w:val="16"/>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or Programs (a)</w:t>
            </w:r>
          </w:p>
        </w:tc>
        <w:tc>
          <w:tcPr>
            <w:tcW w:w="0" w:type="dxa"/>
            <w:vAlign w:val="bottom"/>
          </w:tcPr>
          <w:p>
            <w:pPr>
              <w:spacing w:after="0"/>
              <w:rPr>
                <w:sz w:val="1"/>
                <w:szCs w:val="1"/>
                <w:color w:val="auto"/>
              </w:rPr>
            </w:pPr>
          </w:p>
        </w:tc>
      </w:tr>
      <w:tr>
        <w:trPr>
          <w:trHeight w:val="223"/>
        </w:trPr>
        <w:tc>
          <w:tcPr>
            <w:tcW w:w="41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April 1 - 30, 2025</w:t>
            </w:r>
          </w:p>
        </w:tc>
        <w:tc>
          <w:tcPr>
            <w:tcW w:w="120" w:type="dxa"/>
            <w:vAlign w:val="bottom"/>
            <w:tcBorders>
              <w:top w:val="single" w:sz="8" w:color="DBDBDB"/>
            </w:tcBorders>
            <w:shd w:val="clear" w:color="auto" w:fill="DBDBDB"/>
          </w:tcPr>
          <w:p>
            <w:pPr>
              <w:spacing w:after="0"/>
              <w:rPr>
                <w:sz w:val="19"/>
                <w:szCs w:val="19"/>
                <w:color w:val="auto"/>
              </w:rPr>
            </w:pPr>
          </w:p>
        </w:tc>
        <w:tc>
          <w:tcPr>
            <w:tcW w:w="1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1,645,087</w:t>
            </w:r>
          </w:p>
        </w:tc>
        <w:tc>
          <w:tcPr>
            <w:tcW w:w="1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155.77</w:t>
            </w:r>
          </w:p>
        </w:tc>
        <w:tc>
          <w:tcPr>
            <w:tcW w:w="100" w:type="dxa"/>
            <w:vAlign w:val="bottom"/>
            <w:tcBorders>
              <w:top w:val="single" w:sz="8" w:color="DBDBDB"/>
            </w:tcBorders>
            <w:shd w:val="clear" w:color="auto" w:fill="DBDBDB"/>
          </w:tcPr>
          <w:p>
            <w:pPr>
              <w:spacing w:after="0"/>
              <w:rPr>
                <w:sz w:val="19"/>
                <w:szCs w:val="19"/>
                <w:color w:val="auto"/>
              </w:rPr>
            </w:pPr>
          </w:p>
        </w:tc>
        <w:tc>
          <w:tcPr>
            <w:tcW w:w="1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1,645,087</w:t>
            </w:r>
          </w:p>
        </w:tc>
        <w:tc>
          <w:tcPr>
            <w:tcW w:w="10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   19.35</w:t>
            </w:r>
          </w:p>
        </w:tc>
        <w:tc>
          <w:tcPr>
            <w:tcW w:w="1080" w:type="dxa"/>
            <w:vAlign w:val="bottom"/>
            <w:tcBorders>
              <w:top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billion</w:t>
            </w:r>
          </w:p>
        </w:tc>
        <w:tc>
          <w:tcPr>
            <w:tcW w:w="0" w:type="dxa"/>
            <w:vAlign w:val="bottom"/>
          </w:tcPr>
          <w:p>
            <w:pPr>
              <w:spacing w:after="0"/>
              <w:rPr>
                <w:sz w:val="1"/>
                <w:szCs w:val="1"/>
                <w:color w:val="auto"/>
              </w:rPr>
            </w:pPr>
          </w:p>
        </w:tc>
      </w:tr>
      <w:tr>
        <w:trPr>
          <w:trHeight w:val="230"/>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May 1 - 31, 2025</w:t>
            </w:r>
          </w:p>
        </w:tc>
        <w:tc>
          <w:tcPr>
            <w:tcW w:w="1700" w:type="dxa"/>
            <w:vAlign w:val="bottom"/>
          </w:tcPr>
          <w:p>
            <w:pPr>
              <w:jc w:val="right"/>
              <w:spacing w:after="0"/>
              <w:rPr>
                <w:sz w:val="20"/>
                <w:szCs w:val="20"/>
                <w:color w:val="auto"/>
              </w:rPr>
            </w:pPr>
            <w:r>
              <w:rPr>
                <w:rFonts w:ascii="Arial" w:cs="Arial" w:eastAsia="Arial" w:hAnsi="Arial"/>
                <w:sz w:val="18"/>
                <w:szCs w:val="18"/>
                <w:color w:val="auto"/>
              </w:rPr>
              <w:t>202,679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164.47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202,679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19.31</w:t>
            </w:r>
          </w:p>
        </w:tc>
        <w:tc>
          <w:tcPr>
            <w:tcW w:w="1080" w:type="dxa"/>
            <w:vAlign w:val="bottom"/>
          </w:tcPr>
          <w:p>
            <w:pPr>
              <w:ind w:left="40"/>
              <w:spacing w:after="0"/>
              <w:rPr>
                <w:sz w:val="20"/>
                <w:szCs w:val="20"/>
                <w:color w:val="auto"/>
              </w:rPr>
            </w:pPr>
            <w:r>
              <w:rPr>
                <w:rFonts w:ascii="Arial" w:cs="Arial" w:eastAsia="Arial" w:hAnsi="Arial"/>
                <w:sz w:val="18"/>
                <w:szCs w:val="18"/>
                <w:color w:val="auto"/>
              </w:rPr>
              <w:t>billion</w:t>
            </w:r>
          </w:p>
        </w:tc>
        <w:tc>
          <w:tcPr>
            <w:tcW w:w="0" w:type="dxa"/>
            <w:vAlign w:val="bottom"/>
          </w:tcPr>
          <w:p>
            <w:pPr>
              <w:spacing w:after="0"/>
              <w:rPr>
                <w:sz w:val="1"/>
                <w:szCs w:val="1"/>
                <w:color w:val="auto"/>
              </w:rPr>
            </w:pPr>
          </w:p>
        </w:tc>
      </w:tr>
      <w:tr>
        <w:trPr>
          <w:trHeight w:val="229"/>
        </w:trPr>
        <w:tc>
          <w:tcPr>
            <w:tcW w:w="42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June 1 - 30, 2025</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19.31</w:t>
            </w:r>
          </w:p>
        </w:tc>
        <w:tc>
          <w:tcPr>
            <w:tcW w:w="1080" w:type="dxa"/>
            <w:vAlign w:val="bottom"/>
            <w:shd w:val="clear" w:color="auto" w:fill="DBDBDB"/>
          </w:tcPr>
          <w:p>
            <w:pPr>
              <w:ind w:left="40"/>
              <w:spacing w:after="0"/>
              <w:rPr>
                <w:sz w:val="20"/>
                <w:szCs w:val="20"/>
                <w:color w:val="auto"/>
              </w:rPr>
            </w:pPr>
            <w:r>
              <w:rPr>
                <w:rFonts w:ascii="Arial" w:cs="Arial" w:eastAsia="Arial" w:hAnsi="Arial"/>
                <w:sz w:val="18"/>
                <w:szCs w:val="18"/>
                <w:color w:val="auto"/>
              </w:rPr>
              <w:t>billion (b)</w:t>
            </w:r>
          </w:p>
        </w:tc>
        <w:tc>
          <w:tcPr>
            <w:tcW w:w="0" w:type="dxa"/>
            <w:vAlign w:val="bottom"/>
          </w:tcPr>
          <w:p>
            <w:pPr>
              <w:spacing w:after="0"/>
              <w:rPr>
                <w:sz w:val="1"/>
                <w:szCs w:val="1"/>
                <w:color w:val="auto"/>
              </w:rPr>
            </w:pPr>
          </w:p>
        </w:tc>
      </w:tr>
      <w:tr>
        <w:trPr>
          <w:trHeight w:val="223"/>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1,847,766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1,847,766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right="40" w:hanging="332"/>
        <w:spacing w:after="0" w:line="318" w:lineRule="auto"/>
        <w:tabs>
          <w:tab w:leader="none" w:pos="33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open-market purchases during the quarter were made under the authorizations from our board of directors to purchase up to $12.0 billion and $15.0 billion of additional shares of TI common stock announced September 20, 2018, and September 15, 2022, respectively.</w:t>
      </w:r>
    </w:p>
    <w:p>
      <w:pPr>
        <w:spacing w:after="0" w:line="156" w:lineRule="exact"/>
        <w:rPr>
          <w:rFonts w:ascii="Arial" w:cs="Arial" w:eastAsia="Arial" w:hAnsi="Arial"/>
          <w:sz w:val="17"/>
          <w:szCs w:val="17"/>
          <w:color w:val="auto"/>
        </w:rPr>
      </w:pPr>
    </w:p>
    <w:p>
      <w:pPr>
        <w:ind w:left="340" w:right="400" w:hanging="332"/>
        <w:spacing w:after="0" w:line="287" w:lineRule="auto"/>
        <w:tabs>
          <w:tab w:leader="none" w:pos="3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June 30, 2025, this amount consisted of the remaining portion of the $12.0 billion authorized in September 2018 and the $15.0 billion authorized in September 2022. No expiration date has been specified for these authorizations.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6" w:name="page27"/>
    <w:bookmarkEnd w:id="26"/>
    <w:p>
      <w:pPr>
        <w:spacing w:after="0" w:line="199" w:lineRule="auto"/>
        <w:framePr w:w="1460" w:h="163" w:wrap="auto" w:vAnchor="page" w:hAnchor="page" w:x="280" w:y="909"/>
        <w:rPr>
          <w:rFonts w:ascii="Arial" w:cs="Arial" w:eastAsia="Arial" w:hAnsi="Arial"/>
          <w:sz w:val="17"/>
          <w:szCs w:val="17"/>
          <w:b w:val="1"/>
          <w:bCs w:val="1"/>
          <w:color w:val="auto"/>
        </w:rPr>
      </w:pPr>
      <w:r>
        <w:rPr>
          <w:rFonts w:ascii="Arial" w:cs="Arial" w:eastAsia="Arial" w:hAnsi="Arial"/>
          <w:sz w:val="17"/>
          <w:szCs w:val="17"/>
          <w:b w:val="1"/>
          <w:bCs w:val="1"/>
          <w:color w:val="auto"/>
        </w:rPr>
        <w:t>ITEM 6. Exhibits</w:t>
      </w:r>
    </w:p>
    <w:tbl>
      <w:tblPr>
        <w:tblLayout w:type="fixed"/>
        <w:tblInd w:w="0" w:type="dxa"/>
        <w:tblCellMar>
          <w:top w:w="0" w:type="dxa"/>
          <w:left w:w="0" w:type="dxa"/>
          <w:bottom w:w="0" w:type="dxa"/>
          <w:right w:w="0" w:type="dxa"/>
        </w:tblCellMar>
      </w:tblPr>
      <w:tr>
        <w:trPr>
          <w:trHeight w:val="176"/>
        </w:trPr>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Designation of Exhibits in</w:t>
            </w: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This Report</w:t>
            </w:r>
          </w:p>
        </w:tc>
        <w:tc>
          <w:tcPr>
            <w:tcW w:w="9380" w:type="dxa"/>
            <w:vAlign w:val="bottom"/>
            <w:gridSpan w:val="19"/>
          </w:tcPr>
          <w:p>
            <w:pPr>
              <w:ind w:left="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210"/>
        </w:trPr>
        <w:tc>
          <w:tcPr>
            <w:tcW w:w="186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3(a)</w:t>
            </w:r>
          </w:p>
        </w:tc>
        <w:tc>
          <w:tcPr>
            <w:tcW w:w="60" w:type="dxa"/>
            <w:vAlign w:val="bottom"/>
            <w:shd w:val="clear" w:color="auto" w:fill="DBDBDB"/>
          </w:tcPr>
          <w:p>
            <w:pPr>
              <w:spacing w:after="0"/>
              <w:rPr>
                <w:sz w:val="18"/>
                <w:szCs w:val="18"/>
                <w:color w:val="auto"/>
              </w:rPr>
            </w:pPr>
          </w:p>
        </w:tc>
        <w:tc>
          <w:tcPr>
            <w:tcW w:w="9320" w:type="dxa"/>
            <w:vAlign w:val="bottom"/>
            <w:gridSpan w:val="18"/>
            <w:shd w:val="clear" w:color="auto" w:fill="DBDBDB"/>
          </w:tcPr>
          <w:p>
            <w:pPr>
              <w:spacing w:after="0"/>
              <w:rPr>
                <w:rFonts w:ascii="Arial" w:cs="Arial" w:eastAsia="Arial" w:hAnsi="Arial"/>
                <w:sz w:val="18"/>
                <w:szCs w:val="18"/>
                <w:color w:val="0000FF"/>
              </w:rPr>
            </w:pPr>
            <w:hyperlink r:id="rId45">
              <w:r>
                <w:rPr>
                  <w:rFonts w:ascii="Arial" w:cs="Arial" w:eastAsia="Arial" w:hAnsi="Arial"/>
                  <w:sz w:val="18"/>
                  <w:szCs w:val="18"/>
                  <w:color w:val="0000FF"/>
                </w:rPr>
                <w:t>Restated Certificate of Incorporation of the Registrant, dated April 18, 1985, as amended (incorporated by reference</w:t>
              </w:r>
            </w:hyperlink>
          </w:p>
        </w:tc>
        <w:tc>
          <w:tcPr>
            <w:tcW w:w="0" w:type="dxa"/>
            <w:vAlign w:val="bottom"/>
          </w:tcPr>
          <w:p>
            <w:pPr>
              <w:spacing w:after="0"/>
              <w:rPr>
                <w:sz w:val="1"/>
                <w:szCs w:val="1"/>
                <w:color w:val="auto"/>
              </w:rPr>
            </w:pPr>
          </w:p>
        </w:tc>
      </w:tr>
      <w:tr>
        <w:trPr>
          <w:trHeight w:val="133"/>
        </w:trPr>
        <w:tc>
          <w:tcPr>
            <w:tcW w:w="1860" w:type="dxa"/>
            <w:vAlign w:val="bottom"/>
            <w:tcBorders>
              <w:top w:val="single" w:sz="8" w:color="DBDBDB"/>
            </w:tcBorders>
            <w:vMerge w:val="continue"/>
            <w:shd w:val="clear" w:color="auto" w:fill="DBDBDB"/>
          </w:tcPr>
          <w:p>
            <w:pPr>
              <w:spacing w:after="0"/>
              <w:rPr>
                <w:sz w:val="11"/>
                <w:szCs w:val="11"/>
                <w:color w:val="auto"/>
              </w:rPr>
            </w:pPr>
          </w:p>
        </w:tc>
        <w:tc>
          <w:tcPr>
            <w:tcW w:w="60" w:type="dxa"/>
            <w:vAlign w:val="bottom"/>
            <w:tcBorders>
              <w:top w:val="single" w:sz="8" w:color="DBDBDB"/>
            </w:tcBorders>
            <w:vMerge w:val="restart"/>
            <w:shd w:val="clear" w:color="auto" w:fill="DBDBDB"/>
          </w:tcPr>
          <w:p>
            <w:pPr>
              <w:spacing w:after="0"/>
              <w:rPr>
                <w:sz w:val="11"/>
                <w:szCs w:val="11"/>
                <w:color w:val="auto"/>
              </w:rPr>
            </w:pPr>
          </w:p>
        </w:tc>
        <w:tc>
          <w:tcPr>
            <w:tcW w:w="8220" w:type="dxa"/>
            <w:vAlign w:val="bottom"/>
            <w:tcBorders>
              <w:top w:val="single" w:sz="8" w:color="0000FF"/>
            </w:tcBorders>
            <w:gridSpan w:val="11"/>
            <w:vMerge w:val="restart"/>
            <w:shd w:val="clear" w:color="auto" w:fill="DBDBDB"/>
          </w:tcPr>
          <w:p>
            <w:pPr>
              <w:spacing w:after="0" w:line="196" w:lineRule="exact"/>
              <w:rPr>
                <w:rFonts w:ascii="Arial" w:cs="Arial" w:eastAsia="Arial" w:hAnsi="Arial"/>
                <w:sz w:val="18"/>
                <w:szCs w:val="18"/>
                <w:color w:val="0000FF"/>
                <w:w w:val="99"/>
              </w:rPr>
            </w:pPr>
            <w:hyperlink r:id="rId45">
              <w:r>
                <w:rPr>
                  <w:rFonts w:ascii="Arial" w:cs="Arial" w:eastAsia="Arial" w:hAnsi="Arial"/>
                  <w:sz w:val="18"/>
                  <w:szCs w:val="18"/>
                  <w:color w:val="0000FF"/>
                  <w:w w:val="99"/>
                </w:rPr>
                <w:t>to Exhibit 3(a) of the Registrant’s Annual Report on Form 10-K for the year ended December 31, 2014).</w:t>
              </w:r>
            </w:hyperlink>
          </w:p>
        </w:tc>
        <w:tc>
          <w:tcPr>
            <w:tcW w:w="1000" w:type="dxa"/>
            <w:vAlign w:val="bottom"/>
            <w:tcBorders>
              <w:top w:val="single" w:sz="8" w:color="0000FF"/>
            </w:tcBorders>
            <w:gridSpan w:val="6"/>
            <w:vMerge w:val="restart"/>
            <w:shd w:val="clear" w:color="auto" w:fill="DBDBDB"/>
          </w:tcPr>
          <w:p>
            <w:pPr>
              <w:spacing w:after="0"/>
              <w:rPr>
                <w:sz w:val="11"/>
                <w:szCs w:val="11"/>
                <w:color w:val="auto"/>
              </w:rPr>
            </w:pPr>
          </w:p>
        </w:tc>
        <w:tc>
          <w:tcPr>
            <w:tcW w:w="100" w:type="dxa"/>
            <w:vAlign w:val="bottom"/>
            <w:tcBorders>
              <w:top w:val="single" w:sz="8" w:color="DBDBDB"/>
            </w:tcBorders>
            <w:vMerge w:val="restart"/>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860" w:type="dxa"/>
            <w:vAlign w:val="bottom"/>
            <w:tcBorders>
              <w:bottom w:val="single" w:sz="8" w:color="DBDBDB"/>
            </w:tcBorders>
            <w:shd w:val="clear" w:color="auto" w:fill="DBDBDB"/>
          </w:tcPr>
          <w:p>
            <w:pPr>
              <w:spacing w:after="0"/>
              <w:rPr>
                <w:sz w:val="9"/>
                <w:szCs w:val="9"/>
                <w:color w:val="auto"/>
              </w:rPr>
            </w:pPr>
          </w:p>
        </w:tc>
        <w:tc>
          <w:tcPr>
            <w:tcW w:w="60" w:type="dxa"/>
            <w:vAlign w:val="bottom"/>
            <w:tcBorders>
              <w:bottom w:val="single" w:sz="8" w:color="DBDBDB"/>
            </w:tcBorders>
            <w:vMerge w:val="continue"/>
            <w:shd w:val="clear" w:color="auto" w:fill="DBDBDB"/>
          </w:tcPr>
          <w:p>
            <w:pPr>
              <w:spacing w:after="0"/>
              <w:rPr>
                <w:sz w:val="9"/>
                <w:szCs w:val="9"/>
                <w:color w:val="auto"/>
              </w:rPr>
            </w:pPr>
          </w:p>
        </w:tc>
        <w:tc>
          <w:tcPr>
            <w:tcW w:w="8220" w:type="dxa"/>
            <w:vAlign w:val="bottom"/>
            <w:tcBorders>
              <w:bottom w:val="single" w:sz="8" w:color="0000FF"/>
            </w:tcBorders>
            <w:gridSpan w:val="11"/>
            <w:vMerge w:val="continue"/>
            <w:shd w:val="clear" w:color="auto" w:fill="DBDBDB"/>
          </w:tcPr>
          <w:p>
            <w:pPr>
              <w:spacing w:after="0"/>
              <w:rPr>
                <w:sz w:val="9"/>
                <w:szCs w:val="9"/>
                <w:color w:val="auto"/>
              </w:rPr>
            </w:pPr>
          </w:p>
        </w:tc>
        <w:tc>
          <w:tcPr>
            <w:tcW w:w="1000" w:type="dxa"/>
            <w:vAlign w:val="bottom"/>
            <w:tcBorders>
              <w:bottom w:val="single" w:sz="8" w:color="DBDBDB"/>
            </w:tcBorders>
            <w:gridSpan w:val="6"/>
            <w:vMerge w:val="continue"/>
            <w:shd w:val="clear" w:color="auto" w:fill="DBDBDB"/>
          </w:tcPr>
          <w:p>
            <w:pPr>
              <w:spacing w:after="0"/>
              <w:rPr>
                <w:sz w:val="9"/>
                <w:szCs w:val="9"/>
                <w:color w:val="auto"/>
              </w:rPr>
            </w:pPr>
          </w:p>
        </w:tc>
        <w:tc>
          <w:tcPr>
            <w:tcW w:w="100" w:type="dxa"/>
            <w:vAlign w:val="bottom"/>
            <w:tcBorders>
              <w:bottom w:val="single" w:sz="8" w:color="DBDBDB"/>
            </w:tcBorders>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99"/>
              </w:rPr>
              <w:t>3(b)</w:t>
            </w:r>
          </w:p>
        </w:tc>
        <w:tc>
          <w:tcPr>
            <w:tcW w:w="60" w:type="dxa"/>
            <w:vAlign w:val="bottom"/>
          </w:tcPr>
          <w:p>
            <w:pPr>
              <w:spacing w:after="0"/>
              <w:rPr>
                <w:sz w:val="17"/>
                <w:szCs w:val="17"/>
                <w:color w:val="auto"/>
              </w:rPr>
            </w:pPr>
          </w:p>
        </w:tc>
        <w:tc>
          <w:tcPr>
            <w:tcW w:w="8960" w:type="dxa"/>
            <w:vAlign w:val="bottom"/>
            <w:tcBorders>
              <w:bottom w:val="single" w:sz="8" w:color="0000FF"/>
            </w:tcBorders>
            <w:gridSpan w:val="14"/>
          </w:tcPr>
          <w:p>
            <w:pPr>
              <w:spacing w:after="0" w:line="202" w:lineRule="exact"/>
              <w:rPr>
                <w:rFonts w:ascii="Arial" w:cs="Arial" w:eastAsia="Arial" w:hAnsi="Arial"/>
                <w:sz w:val="18"/>
                <w:szCs w:val="18"/>
                <w:color w:val="0000FF"/>
                <w:w w:val="99"/>
              </w:rPr>
            </w:pPr>
            <w:hyperlink r:id="rId46">
              <w:r>
                <w:rPr>
                  <w:rFonts w:ascii="Arial" w:cs="Arial" w:eastAsia="Arial" w:hAnsi="Arial"/>
                  <w:sz w:val="18"/>
                  <w:szCs w:val="18"/>
                  <w:color w:val="0000FF"/>
                  <w:w w:val="99"/>
                </w:rPr>
                <w:t>By-Laws of the Registrant (incorporated by reference to Exhibit 3 of the Registrant’s Current Report on Form 8-K</w:t>
              </w:r>
            </w:hyperlink>
          </w:p>
        </w:tc>
        <w:tc>
          <w:tcPr>
            <w:tcW w:w="3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860" w:type="dxa"/>
            <w:vAlign w:val="bottom"/>
            <w:vMerge w:val="continue"/>
          </w:tcPr>
          <w:p>
            <w:pPr>
              <w:spacing w:after="0"/>
              <w:rPr>
                <w:sz w:val="11"/>
                <w:szCs w:val="11"/>
                <w:color w:val="auto"/>
              </w:rPr>
            </w:pPr>
          </w:p>
        </w:tc>
        <w:tc>
          <w:tcPr>
            <w:tcW w:w="9380" w:type="dxa"/>
            <w:vAlign w:val="bottom"/>
            <w:gridSpan w:val="19"/>
            <w:vMerge w:val="restart"/>
          </w:tcPr>
          <w:p>
            <w:pPr>
              <w:ind w:left="60"/>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filed January 26, 2022).</w:t>
              </w:r>
            </w:hyperlink>
          </w:p>
        </w:tc>
        <w:tc>
          <w:tcPr>
            <w:tcW w:w="0" w:type="dxa"/>
            <w:vAlign w:val="bottom"/>
          </w:tcPr>
          <w:p>
            <w:pPr>
              <w:spacing w:after="0"/>
              <w:rPr>
                <w:sz w:val="1"/>
                <w:szCs w:val="1"/>
                <w:color w:val="auto"/>
              </w:rPr>
            </w:pPr>
          </w:p>
        </w:tc>
      </w:tr>
      <w:tr>
        <w:trPr>
          <w:trHeight w:val="63"/>
        </w:trPr>
        <w:tc>
          <w:tcPr>
            <w:tcW w:w="1860" w:type="dxa"/>
            <w:vAlign w:val="bottom"/>
          </w:tcPr>
          <w:p>
            <w:pPr>
              <w:spacing w:after="0"/>
              <w:rPr>
                <w:sz w:val="5"/>
                <w:szCs w:val="5"/>
                <w:color w:val="auto"/>
              </w:rPr>
            </w:pPr>
          </w:p>
        </w:tc>
        <w:tc>
          <w:tcPr>
            <w:tcW w:w="9380" w:type="dxa"/>
            <w:vAlign w:val="bottom"/>
            <w:gridSpan w:val="1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6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4(a)</w:t>
            </w:r>
          </w:p>
        </w:tc>
        <w:tc>
          <w:tcPr>
            <w:tcW w:w="60" w:type="dxa"/>
            <w:vAlign w:val="bottom"/>
            <w:shd w:val="clear" w:color="auto" w:fill="DBDBDB"/>
          </w:tcPr>
          <w:p>
            <w:pPr>
              <w:spacing w:after="0"/>
              <w:rPr>
                <w:sz w:val="17"/>
                <w:szCs w:val="17"/>
                <w:color w:val="auto"/>
              </w:rPr>
            </w:pPr>
          </w:p>
        </w:tc>
        <w:tc>
          <w:tcPr>
            <w:tcW w:w="9320" w:type="dxa"/>
            <w:vAlign w:val="bottom"/>
            <w:gridSpan w:val="18"/>
            <w:shd w:val="clear" w:color="auto" w:fill="DBDBDB"/>
          </w:tcPr>
          <w:p>
            <w:pPr>
              <w:spacing w:after="0" w:line="202" w:lineRule="exact"/>
              <w:rPr>
                <w:rFonts w:ascii="Arial" w:cs="Arial" w:eastAsia="Arial" w:hAnsi="Arial"/>
                <w:sz w:val="18"/>
                <w:szCs w:val="18"/>
                <w:color w:val="0000FF"/>
              </w:rPr>
            </w:pPr>
            <w:hyperlink r:id="rId47">
              <w:r>
                <w:rPr>
                  <w:rFonts w:ascii="Arial" w:cs="Arial" w:eastAsia="Arial" w:hAnsi="Arial"/>
                  <w:sz w:val="18"/>
                  <w:szCs w:val="18"/>
                  <w:color w:val="0000FF"/>
                </w:rPr>
                <w:t>Officers’ Certificate, dated May 23, 2025 (incorporated by reference to Exhibit 4.1 of the Registrant’s Current Report</w:t>
              </w:r>
            </w:hyperlink>
          </w:p>
        </w:tc>
        <w:tc>
          <w:tcPr>
            <w:tcW w:w="0" w:type="dxa"/>
            <w:vAlign w:val="bottom"/>
          </w:tcPr>
          <w:p>
            <w:pPr>
              <w:spacing w:after="0"/>
              <w:rPr>
                <w:sz w:val="1"/>
                <w:szCs w:val="1"/>
                <w:color w:val="auto"/>
              </w:rPr>
            </w:pPr>
          </w:p>
        </w:tc>
      </w:tr>
      <w:tr>
        <w:trPr>
          <w:trHeight w:val="133"/>
        </w:trPr>
        <w:tc>
          <w:tcPr>
            <w:tcW w:w="1860" w:type="dxa"/>
            <w:vAlign w:val="bottom"/>
            <w:tcBorders>
              <w:top w:val="single" w:sz="8" w:color="DBDBDB"/>
            </w:tcBorders>
            <w:vMerge w:val="continue"/>
            <w:shd w:val="clear" w:color="auto" w:fill="DBDBDB"/>
          </w:tcPr>
          <w:p>
            <w:pPr>
              <w:spacing w:after="0"/>
              <w:rPr>
                <w:sz w:val="11"/>
                <w:szCs w:val="11"/>
                <w:color w:val="auto"/>
              </w:rPr>
            </w:pPr>
          </w:p>
        </w:tc>
        <w:tc>
          <w:tcPr>
            <w:tcW w:w="60" w:type="dxa"/>
            <w:vAlign w:val="bottom"/>
            <w:tcBorders>
              <w:top w:val="single" w:sz="8" w:color="DBDBDB"/>
            </w:tcBorders>
            <w:vMerge w:val="restart"/>
            <w:shd w:val="clear" w:color="auto" w:fill="DBDBDB"/>
          </w:tcPr>
          <w:p>
            <w:pPr>
              <w:spacing w:after="0"/>
              <w:rPr>
                <w:sz w:val="11"/>
                <w:szCs w:val="11"/>
                <w:color w:val="auto"/>
              </w:rPr>
            </w:pPr>
          </w:p>
        </w:tc>
        <w:tc>
          <w:tcPr>
            <w:tcW w:w="2640" w:type="dxa"/>
            <w:vAlign w:val="bottom"/>
            <w:tcBorders>
              <w:top w:val="single" w:sz="8" w:color="0000FF"/>
            </w:tcBorders>
            <w:gridSpan w:val="2"/>
            <w:vMerge w:val="restart"/>
            <w:shd w:val="clear" w:color="auto" w:fill="DBDBDB"/>
          </w:tcPr>
          <w:p>
            <w:pPr>
              <w:spacing w:after="0" w:line="196" w:lineRule="exact"/>
              <w:rPr>
                <w:rFonts w:ascii="Arial" w:cs="Arial" w:eastAsia="Arial" w:hAnsi="Arial"/>
                <w:sz w:val="18"/>
                <w:szCs w:val="18"/>
                <w:color w:val="0000FF"/>
                <w:w w:val="99"/>
              </w:rPr>
            </w:pPr>
            <w:hyperlink r:id="rId47">
              <w:r>
                <w:rPr>
                  <w:rFonts w:ascii="Arial" w:cs="Arial" w:eastAsia="Arial" w:hAnsi="Arial"/>
                  <w:sz w:val="18"/>
                  <w:szCs w:val="18"/>
                  <w:color w:val="0000FF"/>
                  <w:w w:val="99"/>
                </w:rPr>
                <w:t>on Form 8-K filed May 23, 2025).</w:t>
              </w:r>
            </w:hyperlink>
          </w:p>
        </w:tc>
        <w:tc>
          <w:tcPr>
            <w:tcW w:w="6560" w:type="dxa"/>
            <w:vAlign w:val="bottom"/>
            <w:tcBorders>
              <w:top w:val="single" w:sz="8" w:color="0000FF"/>
            </w:tcBorders>
            <w:gridSpan w:val="14"/>
            <w:vMerge w:val="restart"/>
            <w:shd w:val="clear" w:color="auto" w:fill="DBDBDB"/>
          </w:tcPr>
          <w:p>
            <w:pPr>
              <w:spacing w:after="0"/>
              <w:rPr>
                <w:sz w:val="11"/>
                <w:szCs w:val="11"/>
                <w:color w:val="auto"/>
              </w:rPr>
            </w:pPr>
          </w:p>
        </w:tc>
        <w:tc>
          <w:tcPr>
            <w:tcW w:w="120" w:type="dxa"/>
            <w:vAlign w:val="bottom"/>
            <w:tcBorders>
              <w:top w:val="single" w:sz="8" w:color="DBDBDB"/>
            </w:tcBorders>
            <w:gridSpan w:val="2"/>
            <w:vMerge w:val="restart"/>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860" w:type="dxa"/>
            <w:vAlign w:val="bottom"/>
            <w:tcBorders>
              <w:bottom w:val="single" w:sz="8" w:color="DBDBDB"/>
            </w:tcBorders>
            <w:shd w:val="clear" w:color="auto" w:fill="DBDBDB"/>
          </w:tcPr>
          <w:p>
            <w:pPr>
              <w:spacing w:after="0"/>
              <w:rPr>
                <w:sz w:val="9"/>
                <w:szCs w:val="9"/>
                <w:color w:val="auto"/>
              </w:rPr>
            </w:pPr>
          </w:p>
        </w:tc>
        <w:tc>
          <w:tcPr>
            <w:tcW w:w="60" w:type="dxa"/>
            <w:vAlign w:val="bottom"/>
            <w:tcBorders>
              <w:bottom w:val="single" w:sz="8" w:color="DBDBDB"/>
            </w:tcBorders>
            <w:vMerge w:val="continue"/>
            <w:shd w:val="clear" w:color="auto" w:fill="DBDBDB"/>
          </w:tcPr>
          <w:p>
            <w:pPr>
              <w:spacing w:after="0"/>
              <w:rPr>
                <w:sz w:val="9"/>
                <w:szCs w:val="9"/>
                <w:color w:val="auto"/>
              </w:rPr>
            </w:pPr>
          </w:p>
        </w:tc>
        <w:tc>
          <w:tcPr>
            <w:tcW w:w="2640" w:type="dxa"/>
            <w:vAlign w:val="bottom"/>
            <w:tcBorders>
              <w:bottom w:val="single" w:sz="8" w:color="0000FF"/>
            </w:tcBorders>
            <w:gridSpan w:val="2"/>
            <w:vMerge w:val="continue"/>
            <w:shd w:val="clear" w:color="auto" w:fill="DBDBDB"/>
          </w:tcPr>
          <w:p>
            <w:pPr>
              <w:spacing w:after="0"/>
              <w:rPr>
                <w:sz w:val="9"/>
                <w:szCs w:val="9"/>
                <w:color w:val="auto"/>
              </w:rPr>
            </w:pPr>
          </w:p>
        </w:tc>
        <w:tc>
          <w:tcPr>
            <w:tcW w:w="6560" w:type="dxa"/>
            <w:vAlign w:val="bottom"/>
            <w:tcBorders>
              <w:bottom w:val="single" w:sz="8" w:color="DBDBDB"/>
            </w:tcBorders>
            <w:gridSpan w:val="14"/>
            <w:vMerge w:val="continue"/>
            <w:shd w:val="clear" w:color="auto" w:fill="DBDBDB"/>
          </w:tcPr>
          <w:p>
            <w:pPr>
              <w:spacing w:after="0"/>
              <w:rPr>
                <w:sz w:val="9"/>
                <w:szCs w:val="9"/>
                <w:color w:val="auto"/>
              </w:rPr>
            </w:pPr>
          </w:p>
        </w:tc>
        <w:tc>
          <w:tcPr>
            <w:tcW w:w="120" w:type="dxa"/>
            <w:vAlign w:val="bottom"/>
            <w:tcBorders>
              <w:bottom w:val="single" w:sz="8" w:color="DBDBDB"/>
            </w:tcBorders>
            <w:gridSpan w:val="2"/>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w w:val="99"/>
              </w:rPr>
              <w:t>31(a)</w:t>
            </w:r>
          </w:p>
        </w:tc>
        <w:tc>
          <w:tcPr>
            <w:tcW w:w="9380" w:type="dxa"/>
            <w:vAlign w:val="bottom"/>
            <w:gridSpan w:val="19"/>
          </w:tcPr>
          <w:p>
            <w:pPr>
              <w:ind w:left="60"/>
              <w:spacing w:after="0" w:line="202" w:lineRule="exact"/>
              <w:rPr>
                <w:sz w:val="20"/>
                <w:szCs w:val="20"/>
                <w:color w:val="auto"/>
              </w:rPr>
            </w:pPr>
            <w:r>
              <w:rPr>
                <w:rFonts w:ascii="Arial" w:cs="Arial" w:eastAsia="Arial" w:hAnsi="Arial"/>
                <w:sz w:val="18"/>
                <w:szCs w:val="18"/>
                <w:color w:val="0000FF"/>
              </w:rPr>
              <w:t>Certification of Chief Executive Officer of Periodic Report Pursuant to Rule 13a-14(a) or Rule 15d-14(a).†</w:t>
            </w: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5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60" w:type="dxa"/>
            <w:vAlign w:val="bottom"/>
            <w:tcBorders>
              <w:bottom w:val="single" w:sz="8" w:color="DBDBDB"/>
            </w:tcBorders>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31(b)</w:t>
            </w:r>
          </w:p>
        </w:tc>
        <w:tc>
          <w:tcPr>
            <w:tcW w:w="60" w:type="dxa"/>
            <w:vAlign w:val="bottom"/>
            <w:tcBorders>
              <w:bottom w:val="single" w:sz="8" w:color="DBDBDB"/>
            </w:tcBorders>
            <w:shd w:val="clear" w:color="auto" w:fill="DBDBDB"/>
          </w:tcPr>
          <w:p>
            <w:pPr>
              <w:spacing w:after="0"/>
              <w:rPr>
                <w:sz w:val="21"/>
                <w:szCs w:val="21"/>
                <w:color w:val="auto"/>
              </w:rPr>
            </w:pPr>
          </w:p>
        </w:tc>
        <w:tc>
          <w:tcPr>
            <w:tcW w:w="8300" w:type="dxa"/>
            <w:vAlign w:val="bottom"/>
            <w:tcBorders>
              <w:bottom w:val="single" w:sz="8" w:color="0000FF"/>
            </w:tcBorders>
            <w:gridSpan w:val="12"/>
            <w:shd w:val="clear" w:color="auto" w:fill="DBDBDB"/>
          </w:tcPr>
          <w:p>
            <w:pPr>
              <w:spacing w:after="0" w:line="202" w:lineRule="exact"/>
              <w:rPr>
                <w:sz w:val="20"/>
                <w:szCs w:val="20"/>
                <w:color w:val="auto"/>
              </w:rPr>
            </w:pPr>
            <w:r>
              <w:rPr>
                <w:rFonts w:ascii="Arial" w:cs="Arial" w:eastAsia="Arial" w:hAnsi="Arial"/>
                <w:sz w:val="18"/>
                <w:szCs w:val="18"/>
                <w:color w:val="0000FF"/>
                <w:w w:val="99"/>
              </w:rPr>
              <w:t>Certification of Chief Financial Officer of Periodic Report Pursuant to Rule 13a-14(a) or Rule 15d-14(a).†</w:t>
            </w:r>
          </w:p>
        </w:tc>
        <w:tc>
          <w:tcPr>
            <w:tcW w:w="1020" w:type="dxa"/>
            <w:vAlign w:val="bottom"/>
            <w:tcBorders>
              <w:bottom w:val="single" w:sz="8" w:color="DBDBDB"/>
            </w:tcBorders>
            <w:gridSpan w:val="6"/>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w w:val="99"/>
              </w:rPr>
              <w:t>32(a)</w:t>
            </w:r>
          </w:p>
        </w:tc>
        <w:tc>
          <w:tcPr>
            <w:tcW w:w="9380" w:type="dxa"/>
            <w:vAlign w:val="bottom"/>
            <w:gridSpan w:val="19"/>
          </w:tcPr>
          <w:p>
            <w:pPr>
              <w:ind w:left="60"/>
              <w:spacing w:after="0" w:line="202" w:lineRule="exact"/>
              <w:rPr>
                <w:sz w:val="20"/>
                <w:szCs w:val="20"/>
                <w:color w:val="auto"/>
              </w:rPr>
            </w:pPr>
            <w:r>
              <w:rPr>
                <w:rFonts w:ascii="Arial" w:cs="Arial" w:eastAsia="Arial" w:hAnsi="Arial"/>
                <w:sz w:val="18"/>
                <w:szCs w:val="18"/>
                <w:color w:val="0000FF"/>
              </w:rPr>
              <w:t>Certification by Chief Executive Officer of Periodic Report Pursuant to 18 U.S.C. Section 1350.†</w:t>
            </w: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5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60" w:type="dxa"/>
            <w:vAlign w:val="bottom"/>
            <w:tcBorders>
              <w:bottom w:val="single" w:sz="8" w:color="DBDBDB"/>
            </w:tcBorders>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32(b)</w:t>
            </w:r>
          </w:p>
        </w:tc>
        <w:tc>
          <w:tcPr>
            <w:tcW w:w="60" w:type="dxa"/>
            <w:vAlign w:val="bottom"/>
            <w:tcBorders>
              <w:bottom w:val="single" w:sz="8" w:color="DBDBDB"/>
            </w:tcBorders>
            <w:shd w:val="clear" w:color="auto" w:fill="DBDBDB"/>
          </w:tcPr>
          <w:p>
            <w:pPr>
              <w:spacing w:after="0"/>
              <w:rPr>
                <w:sz w:val="21"/>
                <w:szCs w:val="21"/>
                <w:color w:val="auto"/>
              </w:rPr>
            </w:pPr>
          </w:p>
        </w:tc>
        <w:tc>
          <w:tcPr>
            <w:tcW w:w="7560" w:type="dxa"/>
            <w:vAlign w:val="bottom"/>
            <w:tcBorders>
              <w:bottom w:val="single" w:sz="8" w:color="0000FF"/>
            </w:tcBorders>
            <w:gridSpan w:val="9"/>
            <w:shd w:val="clear" w:color="auto" w:fill="DBDBDB"/>
          </w:tcPr>
          <w:p>
            <w:pPr>
              <w:spacing w:after="0" w:line="202" w:lineRule="exact"/>
              <w:rPr>
                <w:sz w:val="20"/>
                <w:szCs w:val="20"/>
                <w:color w:val="auto"/>
              </w:rPr>
            </w:pPr>
            <w:r>
              <w:rPr>
                <w:rFonts w:ascii="Arial" w:cs="Arial" w:eastAsia="Arial" w:hAnsi="Arial"/>
                <w:sz w:val="18"/>
                <w:szCs w:val="18"/>
                <w:color w:val="0000FF"/>
                <w:w w:val="99"/>
              </w:rPr>
              <w:t>Certification by Chief Financial Officer of Periodic Report Pursuant to 18 U.S.C. Section 1350.†</w:t>
            </w:r>
          </w:p>
        </w:tc>
        <w:tc>
          <w:tcPr>
            <w:tcW w:w="1760" w:type="dxa"/>
            <w:vAlign w:val="bottom"/>
            <w:tcBorders>
              <w:bottom w:val="single" w:sz="8" w:color="DBDBDB"/>
            </w:tcBorders>
            <w:gridSpan w:val="9"/>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99"/>
              </w:rPr>
              <w:t>101.ins</w:t>
            </w:r>
          </w:p>
        </w:tc>
        <w:tc>
          <w:tcPr>
            <w:tcW w:w="60" w:type="dxa"/>
            <w:vAlign w:val="bottom"/>
          </w:tcPr>
          <w:p>
            <w:pPr>
              <w:spacing w:after="0"/>
              <w:rPr>
                <w:sz w:val="17"/>
                <w:szCs w:val="17"/>
                <w:color w:val="auto"/>
              </w:rPr>
            </w:pPr>
          </w:p>
        </w:tc>
        <w:tc>
          <w:tcPr>
            <w:tcW w:w="9320" w:type="dxa"/>
            <w:vAlign w:val="bottom"/>
            <w:gridSpan w:val="18"/>
          </w:tcPr>
          <w:p>
            <w:pPr>
              <w:spacing w:after="0" w:line="202" w:lineRule="exact"/>
              <w:rPr>
                <w:sz w:val="20"/>
                <w:szCs w:val="20"/>
                <w:color w:val="auto"/>
              </w:rPr>
            </w:pPr>
            <w:r>
              <w:rPr>
                <w:rFonts w:ascii="Arial" w:cs="Arial" w:eastAsia="Arial" w:hAnsi="Arial"/>
                <w:sz w:val="18"/>
                <w:szCs w:val="18"/>
                <w:color w:val="auto"/>
              </w:rPr>
              <w:t>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133"/>
        </w:trPr>
        <w:tc>
          <w:tcPr>
            <w:tcW w:w="1860" w:type="dxa"/>
            <w:vAlign w:val="bottom"/>
            <w:vMerge w:val="continue"/>
          </w:tcPr>
          <w:p>
            <w:pPr>
              <w:spacing w:after="0"/>
              <w:rPr>
                <w:sz w:val="11"/>
                <w:szCs w:val="11"/>
                <w:color w:val="auto"/>
              </w:rPr>
            </w:pPr>
          </w:p>
        </w:tc>
        <w:tc>
          <w:tcPr>
            <w:tcW w:w="60" w:type="dxa"/>
            <w:vAlign w:val="bottom"/>
            <w:vMerge w:val="restart"/>
          </w:tcPr>
          <w:p>
            <w:pPr>
              <w:spacing w:after="0"/>
              <w:rPr>
                <w:sz w:val="11"/>
                <w:szCs w:val="11"/>
                <w:color w:val="auto"/>
              </w:rPr>
            </w:pPr>
          </w:p>
        </w:tc>
        <w:tc>
          <w:tcPr>
            <w:tcW w:w="9060" w:type="dxa"/>
            <w:vAlign w:val="bottom"/>
            <w:tcBorders>
              <w:top w:val="single" w:sz="8" w:color="auto"/>
            </w:tcBorders>
            <w:gridSpan w:val="15"/>
            <w:vMerge w:val="restart"/>
          </w:tcPr>
          <w:p>
            <w:pPr>
              <w:spacing w:after="0" w:line="196" w:lineRule="exact"/>
              <w:rPr>
                <w:sz w:val="20"/>
                <w:szCs w:val="20"/>
                <w:color w:val="auto"/>
              </w:rPr>
            </w:pPr>
            <w:r>
              <w:rPr>
                <w:rFonts w:ascii="Arial" w:cs="Arial" w:eastAsia="Arial" w:hAnsi="Arial"/>
                <w:sz w:val="18"/>
                <w:szCs w:val="18"/>
                <w:color w:val="auto"/>
              </w:rPr>
              <w:t>tags are embedded within the Inline XBRL document.†</w:t>
            </w:r>
          </w:p>
        </w:tc>
        <w:tc>
          <w:tcPr>
            <w:tcW w:w="260" w:type="dxa"/>
            <w:vAlign w:val="bottom"/>
            <w:gridSpan w:val="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86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9060" w:type="dxa"/>
            <w:vAlign w:val="bottom"/>
            <w:gridSpan w:val="15"/>
            <w:vMerge w:val="continue"/>
          </w:tcPr>
          <w:p>
            <w:pPr>
              <w:spacing w:after="0"/>
              <w:rPr>
                <w:sz w:val="5"/>
                <w:szCs w:val="5"/>
                <w:color w:val="auto"/>
              </w:rPr>
            </w:pPr>
          </w:p>
        </w:tc>
        <w:tc>
          <w:tcPr>
            <w:tcW w:w="2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6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101.def</w:t>
            </w:r>
          </w:p>
        </w:tc>
        <w:tc>
          <w:tcPr>
            <w:tcW w:w="60" w:type="dxa"/>
            <w:vAlign w:val="bottom"/>
            <w:shd w:val="clear" w:color="auto" w:fill="DBDBDB"/>
          </w:tcPr>
          <w:p>
            <w:pPr>
              <w:spacing w:after="0"/>
              <w:rPr>
                <w:sz w:val="21"/>
                <w:szCs w:val="21"/>
                <w:color w:val="auto"/>
              </w:rPr>
            </w:pPr>
          </w:p>
        </w:tc>
        <w:tc>
          <w:tcPr>
            <w:tcW w:w="9320" w:type="dxa"/>
            <w:vAlign w:val="bottom"/>
            <w:gridSpan w:val="18"/>
            <w:shd w:val="clear" w:color="auto" w:fill="DBDBDB"/>
          </w:tcPr>
          <w:p>
            <w:pPr>
              <w:spacing w:after="0" w:line="202"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03"/>
        </w:trPr>
        <w:tc>
          <w:tcPr>
            <w:tcW w:w="1860" w:type="dxa"/>
            <w:vAlign w:val="bottom"/>
            <w:tcBorders>
              <w:top w:val="single" w:sz="8" w:color="DBDBDB"/>
            </w:tcBorders>
          </w:tcPr>
          <w:p>
            <w:pPr>
              <w:jc w:val="center"/>
              <w:spacing w:after="0" w:line="202" w:lineRule="exact"/>
              <w:rPr>
                <w:sz w:val="20"/>
                <w:szCs w:val="20"/>
                <w:color w:val="auto"/>
              </w:rPr>
            </w:pPr>
            <w:r>
              <w:rPr>
                <w:rFonts w:ascii="Arial" w:cs="Arial" w:eastAsia="Arial" w:hAnsi="Arial"/>
                <w:sz w:val="18"/>
                <w:szCs w:val="18"/>
                <w:color w:val="auto"/>
                <w:w w:val="98"/>
              </w:rPr>
              <w:t>101.sch</w:t>
            </w:r>
          </w:p>
        </w:tc>
        <w:tc>
          <w:tcPr>
            <w:tcW w:w="60" w:type="dxa"/>
            <w:vAlign w:val="bottom"/>
            <w:tcBorders>
              <w:top w:val="single" w:sz="8" w:color="DBDBDB"/>
            </w:tcBorders>
          </w:tcPr>
          <w:p>
            <w:pPr>
              <w:spacing w:after="0"/>
              <w:rPr>
                <w:sz w:val="17"/>
                <w:szCs w:val="17"/>
                <w:color w:val="auto"/>
              </w:rPr>
            </w:pPr>
          </w:p>
        </w:tc>
        <w:tc>
          <w:tcPr>
            <w:tcW w:w="4780" w:type="dxa"/>
            <w:vAlign w:val="bottom"/>
            <w:tcBorders>
              <w:top w:val="single" w:sz="8" w:color="auto"/>
            </w:tcBorders>
            <w:gridSpan w:val="6"/>
          </w:tcPr>
          <w:p>
            <w:pPr>
              <w:spacing w:after="0" w:line="202" w:lineRule="exact"/>
              <w:rPr>
                <w:sz w:val="20"/>
                <w:szCs w:val="20"/>
                <w:color w:val="auto"/>
              </w:rPr>
            </w:pPr>
            <w:r>
              <w:rPr>
                <w:rFonts w:ascii="Arial" w:cs="Arial" w:eastAsia="Arial" w:hAnsi="Arial"/>
                <w:sz w:val="18"/>
                <w:szCs w:val="18"/>
                <w:color w:val="auto"/>
              </w:rPr>
              <w:t>XBRL Taxonomy Extension Schema Document.†</w:t>
            </w:r>
          </w:p>
        </w:tc>
        <w:tc>
          <w:tcPr>
            <w:tcW w:w="4540" w:type="dxa"/>
            <w:vAlign w:val="bottom"/>
            <w:tcBorders>
              <w:top w:val="single" w:sz="8" w:color="DBDBDB"/>
            </w:tcBorders>
            <w:gridSpan w:val="12"/>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6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101.cal</w:t>
            </w:r>
          </w:p>
        </w:tc>
        <w:tc>
          <w:tcPr>
            <w:tcW w:w="60" w:type="dxa"/>
            <w:vAlign w:val="bottom"/>
            <w:shd w:val="clear" w:color="auto" w:fill="DBDBDB"/>
          </w:tcPr>
          <w:p>
            <w:pPr>
              <w:spacing w:after="0"/>
              <w:rPr>
                <w:sz w:val="21"/>
                <w:szCs w:val="21"/>
                <w:color w:val="auto"/>
              </w:rPr>
            </w:pPr>
          </w:p>
        </w:tc>
        <w:tc>
          <w:tcPr>
            <w:tcW w:w="9320" w:type="dxa"/>
            <w:vAlign w:val="bottom"/>
            <w:gridSpan w:val="18"/>
            <w:shd w:val="clear" w:color="auto" w:fill="DBDBDB"/>
          </w:tcPr>
          <w:p>
            <w:pPr>
              <w:spacing w:after="0" w:line="202"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03"/>
        </w:trPr>
        <w:tc>
          <w:tcPr>
            <w:tcW w:w="1860" w:type="dxa"/>
            <w:vAlign w:val="bottom"/>
            <w:tcBorders>
              <w:top w:val="single" w:sz="8" w:color="DBDBDB"/>
            </w:tcBorders>
          </w:tcPr>
          <w:p>
            <w:pPr>
              <w:jc w:val="center"/>
              <w:spacing w:after="0" w:line="202" w:lineRule="exact"/>
              <w:rPr>
                <w:sz w:val="20"/>
                <w:szCs w:val="20"/>
                <w:color w:val="auto"/>
              </w:rPr>
            </w:pPr>
            <w:r>
              <w:rPr>
                <w:rFonts w:ascii="Arial" w:cs="Arial" w:eastAsia="Arial" w:hAnsi="Arial"/>
                <w:sz w:val="18"/>
                <w:szCs w:val="18"/>
                <w:color w:val="auto"/>
                <w:w w:val="98"/>
              </w:rPr>
              <w:t>101.lab</w:t>
            </w:r>
          </w:p>
        </w:tc>
        <w:tc>
          <w:tcPr>
            <w:tcW w:w="60" w:type="dxa"/>
            <w:vAlign w:val="bottom"/>
            <w:tcBorders>
              <w:top w:val="single" w:sz="8" w:color="DBDBDB"/>
            </w:tcBorders>
          </w:tcPr>
          <w:p>
            <w:pPr>
              <w:spacing w:after="0"/>
              <w:rPr>
                <w:sz w:val="17"/>
                <w:szCs w:val="17"/>
                <w:color w:val="auto"/>
              </w:rPr>
            </w:pPr>
          </w:p>
        </w:tc>
        <w:tc>
          <w:tcPr>
            <w:tcW w:w="4920" w:type="dxa"/>
            <w:vAlign w:val="bottom"/>
            <w:tcBorders>
              <w:top w:val="single" w:sz="8" w:color="auto"/>
            </w:tcBorders>
            <w:gridSpan w:val="7"/>
          </w:tcPr>
          <w:p>
            <w:pPr>
              <w:spacing w:after="0" w:line="202" w:lineRule="exact"/>
              <w:rPr>
                <w:sz w:val="20"/>
                <w:szCs w:val="20"/>
                <w:color w:val="auto"/>
              </w:rPr>
            </w:pPr>
            <w:r>
              <w:rPr>
                <w:rFonts w:ascii="Arial" w:cs="Arial" w:eastAsia="Arial" w:hAnsi="Arial"/>
                <w:sz w:val="18"/>
                <w:szCs w:val="18"/>
                <w:color w:val="auto"/>
              </w:rPr>
              <w:t>XBRL Taxonomy Extension Label Linkbase Document.†</w:t>
            </w:r>
          </w:p>
        </w:tc>
        <w:tc>
          <w:tcPr>
            <w:tcW w:w="4400" w:type="dxa"/>
            <w:vAlign w:val="bottom"/>
            <w:tcBorders>
              <w:top w:val="single" w:sz="8" w:color="DBDBDB"/>
            </w:tcBorders>
            <w:gridSpan w:val="11"/>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6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color w:val="auto"/>
              </w:rPr>
              <w:t>101.pre</w:t>
            </w:r>
          </w:p>
        </w:tc>
        <w:tc>
          <w:tcPr>
            <w:tcW w:w="9380" w:type="dxa"/>
            <w:vAlign w:val="bottom"/>
            <w:gridSpan w:val="19"/>
            <w:shd w:val="clear" w:color="auto" w:fill="DBDBDB"/>
          </w:tcPr>
          <w:p>
            <w:pPr>
              <w:ind w:left="60"/>
              <w:spacing w:after="0" w:line="202" w:lineRule="exact"/>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48"/>
        </w:trPr>
        <w:tc>
          <w:tcPr>
            <w:tcW w:w="18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880" w:type="dxa"/>
            <w:vAlign w:val="bottom"/>
            <w:tcBorders>
              <w:top w:val="single" w:sz="8" w:color="auto"/>
            </w:tcBorders>
            <w:shd w:val="clear" w:color="auto" w:fill="DBDBDB"/>
          </w:tcPr>
          <w:p>
            <w:pPr>
              <w:spacing w:after="0"/>
              <w:rPr>
                <w:sz w:val="4"/>
                <w:szCs w:val="4"/>
                <w:color w:val="auto"/>
              </w:rPr>
            </w:pPr>
          </w:p>
        </w:tc>
        <w:tc>
          <w:tcPr>
            <w:tcW w:w="760" w:type="dxa"/>
            <w:vAlign w:val="bottom"/>
            <w:tcBorders>
              <w:top w:val="single" w:sz="8" w:color="auto"/>
            </w:tcBorders>
            <w:shd w:val="clear" w:color="auto" w:fill="DBDBDB"/>
          </w:tcPr>
          <w:p>
            <w:pPr>
              <w:spacing w:after="0"/>
              <w:rPr>
                <w:sz w:val="4"/>
                <w:szCs w:val="4"/>
                <w:color w:val="auto"/>
              </w:rPr>
            </w:pPr>
          </w:p>
        </w:tc>
        <w:tc>
          <w:tcPr>
            <w:tcW w:w="1280" w:type="dxa"/>
            <w:vAlign w:val="bottom"/>
            <w:tcBorders>
              <w:top w:val="single" w:sz="8" w:color="auto"/>
            </w:tcBorders>
            <w:shd w:val="clear" w:color="auto" w:fill="DBDBDB"/>
          </w:tcPr>
          <w:p>
            <w:pPr>
              <w:spacing w:after="0"/>
              <w:rPr>
                <w:sz w:val="4"/>
                <w:szCs w:val="4"/>
                <w:color w:val="auto"/>
              </w:rPr>
            </w:pPr>
          </w:p>
        </w:tc>
        <w:tc>
          <w:tcPr>
            <w:tcW w:w="44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25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920" w:hanging="1158"/>
        <w:spacing w:after="0"/>
        <w:tabs>
          <w:tab w:leader="none" w:pos="1920"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Cover Page Interactive Data File (embedded within the Inline XBRL document).†</w:t>
      </w:r>
    </w:p>
    <w:p>
      <w:pPr>
        <w:spacing w:after="0" w:line="63" w:lineRule="exact"/>
        <w:rPr>
          <w:rFonts w:ascii="Arial" w:cs="Arial" w:eastAsia="Arial" w:hAnsi="Arial"/>
          <w:sz w:val="18"/>
          <w:szCs w:val="18"/>
          <w:color w:val="auto"/>
        </w:rPr>
      </w:pPr>
    </w:p>
    <w:p>
      <w:pPr>
        <w:ind w:left="180" w:hanging="154"/>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5" w:lineRule="exact"/>
        <w:rPr>
          <w:sz w:val="20"/>
          <w:szCs w:val="20"/>
          <w:color w:val="auto"/>
        </w:rPr>
      </w:pPr>
    </w:p>
    <w:p>
      <w:pPr>
        <w:ind w:right="480"/>
        <w:spacing w:after="0" w:line="257" w:lineRule="auto"/>
        <w:rPr>
          <w:sz w:val="20"/>
          <w:szCs w:val="20"/>
          <w:color w:val="auto"/>
        </w:rPr>
      </w:pPr>
      <w:r>
        <w:rPr>
          <w:rFonts w:ascii="Arial" w:cs="Arial" w:eastAsia="Arial" w:hAnsi="Arial"/>
          <w:sz w:val="18"/>
          <w:szCs w:val="18"/>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53" w:lineRule="exact"/>
        <w:rPr>
          <w:sz w:val="20"/>
          <w:szCs w:val="20"/>
          <w:color w:val="auto"/>
        </w:rPr>
      </w:pPr>
    </w:p>
    <w:p>
      <w:pPr>
        <w:ind w:left="620" w:right="340" w:hanging="329"/>
        <w:spacing w:after="0" w:line="287" w:lineRule="auto"/>
        <w:tabs>
          <w:tab w:leader="none" w:pos="6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44" w:lineRule="exact"/>
        <w:rPr>
          <w:rFonts w:ascii="Arial" w:cs="Arial" w:eastAsia="Arial" w:hAnsi="Arial"/>
          <w:sz w:val="18"/>
          <w:szCs w:val="18"/>
          <w:color w:val="auto"/>
        </w:rPr>
      </w:pPr>
    </w:p>
    <w:p>
      <w:pPr>
        <w:ind w:left="620" w:right="420" w:hanging="329"/>
        <w:spacing w:after="0" w:line="287" w:lineRule="auto"/>
        <w:tabs>
          <w:tab w:leader="none" w:pos="6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17" w:lineRule="exact"/>
        <w:rPr>
          <w:rFonts w:ascii="Arial" w:cs="Arial" w:eastAsia="Arial" w:hAnsi="Arial"/>
          <w:sz w:val="18"/>
          <w:szCs w:val="18"/>
          <w:color w:val="auto"/>
        </w:rPr>
      </w:pPr>
    </w:p>
    <w:p>
      <w:pPr>
        <w:ind w:left="620" w:right="440" w:hanging="329"/>
        <w:spacing w:after="0" w:line="287" w:lineRule="auto"/>
        <w:tabs>
          <w:tab w:leader="none" w:pos="6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suppliers and other third parties;</w:t>
      </w:r>
    </w:p>
    <w:p>
      <w:pPr>
        <w:spacing w:after="0" w:line="44" w:lineRule="exact"/>
        <w:rPr>
          <w:rFonts w:ascii="Arial" w:cs="Arial" w:eastAsia="Arial" w:hAnsi="Arial"/>
          <w:sz w:val="18"/>
          <w:szCs w:val="18"/>
          <w:color w:val="auto"/>
        </w:rPr>
      </w:pPr>
    </w:p>
    <w:p>
      <w:pPr>
        <w:ind w:left="620" w:right="220" w:hanging="329"/>
        <w:spacing w:after="0" w:line="287" w:lineRule="auto"/>
        <w:tabs>
          <w:tab w:leader="none" w:pos="6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44" w:lineRule="exact"/>
        <w:rPr>
          <w:rFonts w:ascii="Arial" w:cs="Arial" w:eastAsia="Arial" w:hAnsi="Arial"/>
          <w:sz w:val="18"/>
          <w:szCs w:val="18"/>
          <w:color w:val="auto"/>
        </w:rPr>
      </w:pPr>
    </w:p>
    <w:p>
      <w:pPr>
        <w:ind w:left="620" w:right="260" w:hanging="329"/>
        <w:spacing w:after="0" w:line="268" w:lineRule="auto"/>
        <w:tabs>
          <w:tab w:leader="none" w:pos="6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62" w:lineRule="exact"/>
        <w:rPr>
          <w:rFonts w:ascii="Arial" w:cs="Arial" w:eastAsia="Arial" w:hAnsi="Arial"/>
          <w:sz w:val="18"/>
          <w:szCs w:val="18"/>
          <w:color w:val="auto"/>
        </w:rPr>
      </w:pPr>
    </w:p>
    <w:p>
      <w:pPr>
        <w:ind w:left="620" w:right="620" w:hanging="329"/>
        <w:spacing w:after="0" w:line="287" w:lineRule="auto"/>
        <w:tabs>
          <w:tab w:leader="none" w:pos="6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Availability and cost of key materials, utilities, manufacturing equipment, third-party manufacturing services and manufacturing technology;</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w:t>
      </w:r>
    </w:p>
    <w:p>
      <w:pPr>
        <w:spacing w:after="0" w:line="117" w:lineRule="exact"/>
        <w:rPr>
          <w:rFonts w:ascii="Arial" w:cs="Arial" w:eastAsia="Arial" w:hAnsi="Arial"/>
          <w:sz w:val="18"/>
          <w:szCs w:val="18"/>
          <w:color w:val="auto"/>
        </w:rPr>
      </w:pPr>
    </w:p>
    <w:p>
      <w:pPr>
        <w:ind w:left="620" w:right="1200" w:hanging="329"/>
        <w:spacing w:after="0" w:line="287" w:lineRule="auto"/>
        <w:tabs>
          <w:tab w:leader="none" w:pos="6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44" w:lineRule="exact"/>
        <w:rPr>
          <w:rFonts w:ascii="Arial" w:cs="Arial" w:eastAsia="Arial" w:hAnsi="Arial"/>
          <w:sz w:val="18"/>
          <w:szCs w:val="18"/>
          <w:color w:val="auto"/>
        </w:rPr>
      </w:pPr>
    </w:p>
    <w:p>
      <w:pPr>
        <w:jc w:val="both"/>
        <w:ind w:left="620" w:right="680" w:hanging="329"/>
        <w:spacing w:after="0" w:line="287" w:lineRule="auto"/>
        <w:tabs>
          <w:tab w:leader="none" w:pos="6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44" w:lineRule="exact"/>
        <w:rPr>
          <w:rFonts w:ascii="Arial" w:cs="Arial" w:eastAsia="Arial" w:hAnsi="Arial"/>
          <w:sz w:val="18"/>
          <w:szCs w:val="18"/>
          <w:color w:val="auto"/>
        </w:rPr>
      </w:pPr>
    </w:p>
    <w:p>
      <w:pPr>
        <w:ind w:left="620" w:right="320" w:hanging="329"/>
        <w:spacing w:after="0" w:line="268" w:lineRule="auto"/>
        <w:tabs>
          <w:tab w:leader="none" w:pos="6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62" w:lineRule="exact"/>
        <w:rPr>
          <w:rFonts w:ascii="Arial" w:cs="Arial" w:eastAsia="Arial" w:hAnsi="Arial"/>
          <w:sz w:val="18"/>
          <w:szCs w:val="18"/>
          <w:color w:val="auto"/>
        </w:rPr>
      </w:pPr>
    </w:p>
    <w:p>
      <w:pPr>
        <w:ind w:left="620" w:right="660" w:hanging="329"/>
        <w:spacing w:after="0" w:line="287" w:lineRule="auto"/>
        <w:tabs>
          <w:tab w:leader="none" w:pos="6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117" w:lineRule="exact"/>
        <w:rPr>
          <w:rFonts w:ascii="Arial" w:cs="Arial" w:eastAsia="Arial" w:hAnsi="Arial"/>
          <w:sz w:val="18"/>
          <w:szCs w:val="18"/>
          <w:color w:val="auto"/>
        </w:rPr>
      </w:pPr>
    </w:p>
    <w:p>
      <w:pPr>
        <w:ind w:left="620" w:right="160" w:hanging="329"/>
        <w:spacing w:after="0" w:line="287" w:lineRule="auto"/>
        <w:tabs>
          <w:tab w:leader="none" w:pos="6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44" w:lineRule="exact"/>
        <w:rPr>
          <w:rFonts w:ascii="Arial" w:cs="Arial" w:eastAsia="Arial" w:hAnsi="Arial"/>
          <w:sz w:val="18"/>
          <w:szCs w:val="18"/>
          <w:color w:val="auto"/>
        </w:rPr>
      </w:pPr>
    </w:p>
    <w:p>
      <w:pPr>
        <w:ind w:left="620" w:right="140" w:hanging="329"/>
        <w:spacing w:after="0" w:line="287" w:lineRule="auto"/>
        <w:tabs>
          <w:tab w:leader="none" w:pos="6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and</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8" w:name="page29"/>
    <w:bookmarkEnd w:id="28"/>
    <w:p>
      <w:pPr>
        <w:spacing w:after="0" w:line="262"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06" w:right="51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TEXAS INSTRUMENTS INCORPORATED</w:t>
      </w:r>
    </w:p>
    <w:p>
      <w:pPr>
        <w:spacing w:after="0" w:line="293" w:lineRule="exact"/>
        <w:rPr>
          <w:sz w:val="20"/>
          <w:szCs w:val="20"/>
          <w:color w:val="auto"/>
        </w:rPr>
      </w:pPr>
    </w:p>
    <w:p>
      <w:pPr>
        <w:ind w:left="612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Rafael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17780</wp:posOffset>
            </wp:positionV>
            <wp:extent cx="29578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2957830" cy="8255"/>
                    </a:xfrm>
                    <a:prstGeom prst="rect">
                      <a:avLst/>
                    </a:prstGeom>
                    <a:noFill/>
                  </pic:spPr>
                </pic:pic>
              </a:graphicData>
            </a:graphic>
          </wp:anchor>
        </w:drawing>
      </w:r>
    </w:p>
    <w:p>
      <w:pPr>
        <w:spacing w:after="0" w:line="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 xml:space="preserve">Rafael Lizardi, </w:t>
      </w:r>
      <w:r>
        <w:rPr>
          <w:rFonts w:ascii="Arial" w:cs="Arial" w:eastAsia="Arial" w:hAnsi="Arial"/>
          <w:sz w:val="18"/>
          <w:szCs w:val="18"/>
          <w:color w:val="auto"/>
        </w:rPr>
        <w:t>Senior Vice President and Chief Financial</w:t>
      </w:r>
    </w:p>
    <w:p>
      <w:pPr>
        <w:jc w:val="center"/>
        <w:ind w:left="6520"/>
        <w:spacing w:after="0"/>
        <w:rPr>
          <w:sz w:val="20"/>
          <w:szCs w:val="20"/>
          <w:color w:val="auto"/>
        </w:rPr>
      </w:pPr>
      <w:r>
        <w:rPr>
          <w:rFonts w:ascii="Arial" w:cs="Arial" w:eastAsia="Arial" w:hAnsi="Arial"/>
          <w:sz w:val="18"/>
          <w:szCs w:val="18"/>
          <w:color w:val="auto"/>
        </w:rPr>
        <w:t>Officer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2025</w:t>
      </w:r>
    </w:p>
    <w:p>
      <w:pPr>
        <w:sectPr>
          <w:pgSz w:w="11900" w:h="16838" w:orient="portrait"/>
          <w:cols w:equalWidth="0" w:num="1">
            <w:col w:w="11200"/>
          </w:cols>
          <w:pgMar w:left="320" w:top="890" w:right="37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u w:val="single" w:color="auto"/>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Haviv Ilan, certify that:</w:t>
      </w:r>
    </w:p>
    <w:p>
      <w:pPr>
        <w:spacing w:after="0" w:line="212" w:lineRule="exact"/>
        <w:rPr>
          <w:sz w:val="20"/>
          <w:szCs w:val="20"/>
          <w:color w:val="auto"/>
        </w:rPr>
      </w:pPr>
    </w:p>
    <w:p>
      <w:pPr>
        <w:ind w:left="480" w:hanging="472"/>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184" w:lineRule="exact"/>
        <w:rPr>
          <w:rFonts w:ascii="Arial" w:cs="Arial" w:eastAsia="Arial" w:hAnsi="Arial"/>
          <w:sz w:val="18"/>
          <w:szCs w:val="18"/>
          <w:color w:val="auto"/>
        </w:rPr>
      </w:pPr>
    </w:p>
    <w:p>
      <w:pPr>
        <w:ind w:left="500" w:right="120" w:hanging="492"/>
        <w:spacing w:after="0" w:line="233" w:lineRule="auto"/>
        <w:tabs>
          <w:tab w:leader="none" w:pos="4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8"/>
          <w:szCs w:val="18"/>
          <w:color w:val="auto"/>
        </w:rPr>
      </w:pPr>
    </w:p>
    <w:p>
      <w:pPr>
        <w:ind w:left="500" w:hanging="492"/>
        <w:spacing w:after="0" w:line="285" w:lineRule="auto"/>
        <w:tabs>
          <w:tab w:leader="none" w:pos="488"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7"/>
          <w:szCs w:val="17"/>
          <w:color w:val="auto"/>
        </w:rPr>
      </w:pPr>
    </w:p>
    <w:p>
      <w:pPr>
        <w:ind w:left="500" w:right="100" w:hanging="492"/>
        <w:spacing w:after="0" w:line="233" w:lineRule="auto"/>
        <w:tabs>
          <w:tab w:leader="none" w:pos="4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6" w:lineRule="exact"/>
        <w:rPr>
          <w:rFonts w:ascii="Arial" w:cs="Arial" w:eastAsia="Arial" w:hAnsi="Arial"/>
          <w:sz w:val="18"/>
          <w:szCs w:val="18"/>
          <w:color w:val="auto"/>
        </w:rPr>
      </w:pPr>
    </w:p>
    <w:p>
      <w:pPr>
        <w:ind w:left="980" w:right="20" w:hanging="486"/>
        <w:spacing w:after="0" w:line="268" w:lineRule="auto"/>
        <w:tabs>
          <w:tab w:leader="none" w:pos="97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980" w:right="320" w:hanging="486"/>
        <w:spacing w:after="0" w:line="268" w:lineRule="auto"/>
        <w:tabs>
          <w:tab w:leader="none" w:pos="97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980" w:right="260" w:hanging="486"/>
        <w:spacing w:after="0" w:line="268" w:lineRule="auto"/>
        <w:tabs>
          <w:tab w:leader="none" w:pos="974"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980" w:right="80" w:hanging="486"/>
        <w:spacing w:after="0" w:line="268" w:lineRule="auto"/>
        <w:tabs>
          <w:tab w:leader="none" w:pos="97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18"/>
          <w:szCs w:val="18"/>
          <w:color w:val="auto"/>
        </w:rPr>
      </w:pPr>
    </w:p>
    <w:p>
      <w:pPr>
        <w:ind w:left="500" w:right="300" w:hanging="492"/>
        <w:spacing w:after="0" w:line="233" w:lineRule="auto"/>
        <w:tabs>
          <w:tab w:leader="none" w:pos="4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8"/>
          <w:szCs w:val="18"/>
          <w:color w:val="auto"/>
        </w:rPr>
      </w:pPr>
    </w:p>
    <w:p>
      <w:pPr>
        <w:ind w:left="980" w:right="260" w:hanging="486"/>
        <w:spacing w:after="0" w:line="268" w:lineRule="auto"/>
        <w:tabs>
          <w:tab w:leader="none" w:pos="97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80" w:hanging="486"/>
        <w:spacing w:after="0" w:line="287" w:lineRule="auto"/>
        <w:tabs>
          <w:tab w:leader="none" w:pos="97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2025</w:t>
      </w:r>
    </w:p>
    <w:p>
      <w:pPr>
        <w:spacing w:after="0" w:line="266"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/s/ Haviv Ilan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17780</wp:posOffset>
            </wp:positionV>
            <wp:extent cx="19627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3"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Haviv Ilan</w:t>
      </w:r>
    </w:p>
    <w:p>
      <w:pPr>
        <w:ind w:left="9120"/>
        <w:spacing w:after="0" w:line="219" w:lineRule="auto"/>
        <w:rPr>
          <w:sz w:val="20"/>
          <w:szCs w:val="20"/>
          <w:color w:val="auto"/>
        </w:rPr>
      </w:pPr>
      <w:r>
        <w:rPr>
          <w:rFonts w:ascii="Arial" w:cs="Arial" w:eastAsia="Arial" w:hAnsi="Arial"/>
          <w:sz w:val="18"/>
          <w:szCs w:val="18"/>
          <w:color w:val="auto"/>
        </w:rPr>
        <w:t>President and</w:t>
      </w:r>
    </w:p>
    <w:p>
      <w:pPr>
        <w:ind w:left="87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0"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u w:val="single" w:color="auto"/>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Rafael Lizardi, certify that:</w:t>
      </w:r>
    </w:p>
    <w:p>
      <w:pPr>
        <w:spacing w:after="0" w:line="212"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184" w:lineRule="exact"/>
        <w:rPr>
          <w:rFonts w:ascii="Arial" w:cs="Arial" w:eastAsia="Arial" w:hAnsi="Arial"/>
          <w:sz w:val="18"/>
          <w:szCs w:val="18"/>
          <w:color w:val="auto"/>
        </w:rPr>
      </w:pPr>
    </w:p>
    <w:p>
      <w:pPr>
        <w:ind w:left="500" w:right="120" w:hanging="492"/>
        <w:spacing w:after="0" w:line="233" w:lineRule="auto"/>
        <w:tabs>
          <w:tab w:leader="none" w:pos="4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8"/>
          <w:szCs w:val="18"/>
          <w:color w:val="auto"/>
        </w:rPr>
      </w:pPr>
    </w:p>
    <w:p>
      <w:pPr>
        <w:ind w:left="500" w:hanging="492"/>
        <w:spacing w:after="0" w:line="285" w:lineRule="auto"/>
        <w:tabs>
          <w:tab w:leader="none" w:pos="488"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7"/>
          <w:szCs w:val="17"/>
          <w:color w:val="auto"/>
        </w:rPr>
      </w:pPr>
    </w:p>
    <w:p>
      <w:pPr>
        <w:ind w:left="500" w:right="100" w:hanging="492"/>
        <w:spacing w:after="0" w:line="233" w:lineRule="auto"/>
        <w:tabs>
          <w:tab w:leader="none" w:pos="4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6" w:lineRule="exact"/>
        <w:rPr>
          <w:rFonts w:ascii="Arial" w:cs="Arial" w:eastAsia="Arial" w:hAnsi="Arial"/>
          <w:sz w:val="18"/>
          <w:szCs w:val="18"/>
          <w:color w:val="auto"/>
        </w:rPr>
      </w:pPr>
    </w:p>
    <w:p>
      <w:pPr>
        <w:ind w:left="980" w:right="20" w:hanging="486"/>
        <w:spacing w:after="0" w:line="268" w:lineRule="auto"/>
        <w:tabs>
          <w:tab w:leader="none" w:pos="97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980" w:right="320" w:hanging="486"/>
        <w:spacing w:after="0" w:line="268" w:lineRule="auto"/>
        <w:tabs>
          <w:tab w:leader="none" w:pos="97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980" w:right="260" w:hanging="486"/>
        <w:spacing w:after="0" w:line="268" w:lineRule="auto"/>
        <w:tabs>
          <w:tab w:leader="none" w:pos="974"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980" w:right="80" w:hanging="486"/>
        <w:spacing w:after="0" w:line="268" w:lineRule="auto"/>
        <w:tabs>
          <w:tab w:leader="none" w:pos="97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18"/>
          <w:szCs w:val="18"/>
          <w:color w:val="auto"/>
        </w:rPr>
      </w:pPr>
    </w:p>
    <w:p>
      <w:pPr>
        <w:ind w:left="500" w:right="300" w:hanging="492"/>
        <w:spacing w:after="0" w:line="233" w:lineRule="auto"/>
        <w:tabs>
          <w:tab w:leader="none" w:pos="4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8"/>
          <w:szCs w:val="18"/>
          <w:color w:val="auto"/>
        </w:rPr>
      </w:pPr>
    </w:p>
    <w:p>
      <w:pPr>
        <w:ind w:left="980" w:right="260" w:hanging="486"/>
        <w:spacing w:after="0" w:line="268" w:lineRule="auto"/>
        <w:tabs>
          <w:tab w:leader="none" w:pos="97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80" w:hanging="486"/>
        <w:spacing w:after="0" w:line="287" w:lineRule="auto"/>
        <w:tabs>
          <w:tab w:leader="none" w:pos="97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2025</w:t>
      </w:r>
    </w:p>
    <w:p>
      <w:pPr>
        <w:spacing w:after="0" w:line="266"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/s/ Rafael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17780</wp:posOffset>
            </wp:positionV>
            <wp:extent cx="19627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3"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Rafael Lizardi</w:t>
      </w:r>
    </w:p>
    <w:p>
      <w:pPr>
        <w:jc w:val="center"/>
        <w:ind w:left="8120"/>
        <w:spacing w:after="0" w:line="219" w:lineRule="auto"/>
        <w:rPr>
          <w:sz w:val="20"/>
          <w:szCs w:val="20"/>
          <w:color w:val="auto"/>
        </w:rPr>
      </w:pPr>
      <w:r>
        <w:rPr>
          <w:rFonts w:ascii="Arial" w:cs="Arial" w:eastAsia="Arial" w:hAnsi="Arial"/>
          <w:sz w:val="18"/>
          <w:szCs w:val="18"/>
          <w:color w:val="auto"/>
        </w:rPr>
        <w:t>Senior Vice President and</w:t>
      </w:r>
    </w:p>
    <w:p>
      <w:pPr>
        <w:jc w:val="center"/>
        <w:ind w:left="81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0"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u w:val="single" w:color="auto"/>
          <w:color w:val="auto"/>
        </w:rPr>
        <w:t>Exhibit 32(a)</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Certification of Periodic Report</w:t>
      </w:r>
    </w:p>
    <w:p>
      <w:pPr>
        <w:spacing w:after="0" w:line="50"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Pursuant to 18 U.S.C. Section 1350</w:t>
      </w:r>
    </w:p>
    <w:p>
      <w:pPr>
        <w:spacing w:after="0" w:line="3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Haviv Ilan, President and Chief Executive Officer of Texas Instruments Incorporated (the “Company”), hereby certifies that, to his knowledge:</w:t>
      </w:r>
    </w:p>
    <w:p>
      <w:pPr>
        <w:spacing w:after="0" w:line="207" w:lineRule="exact"/>
        <w:rPr>
          <w:sz w:val="20"/>
          <w:szCs w:val="20"/>
          <w:color w:val="auto"/>
        </w:rPr>
      </w:pPr>
    </w:p>
    <w:p>
      <w:pPr>
        <w:ind w:firstLine="494"/>
        <w:spacing w:after="0" w:line="268" w:lineRule="auto"/>
        <w:tabs>
          <w:tab w:leader="none" w:pos="69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2025, as filed with the Securities and Exchange Commission on the date hereof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280" w:firstLine="494"/>
        <w:spacing w:after="0" w:line="287" w:lineRule="auto"/>
        <w:tabs>
          <w:tab w:leader="none" w:pos="7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July 29, 2025</w:t>
      </w:r>
    </w:p>
    <w:p>
      <w:pPr>
        <w:spacing w:after="0" w:line="306"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/s/ Haviv Ilan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17780</wp:posOffset>
            </wp:positionV>
            <wp:extent cx="19627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6"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Haviv Ilan</w:t>
      </w:r>
    </w:p>
    <w:p>
      <w:pPr>
        <w:ind w:left="9120"/>
        <w:spacing w:after="0" w:line="203" w:lineRule="auto"/>
        <w:rPr>
          <w:sz w:val="20"/>
          <w:szCs w:val="20"/>
          <w:color w:val="auto"/>
        </w:rPr>
      </w:pPr>
      <w:r>
        <w:rPr>
          <w:rFonts w:ascii="Arial" w:cs="Arial" w:eastAsia="Arial" w:hAnsi="Arial"/>
          <w:sz w:val="18"/>
          <w:szCs w:val="18"/>
          <w:color w:val="auto"/>
        </w:rPr>
        <w:t>President and</w:t>
      </w:r>
    </w:p>
    <w:p>
      <w:pPr>
        <w:ind w:left="87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0"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u w:val="single" w:color="auto"/>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315" w:lineRule="exact"/>
        <w:rPr>
          <w:sz w:val="20"/>
          <w:szCs w:val="20"/>
          <w:color w:val="auto"/>
        </w:rPr>
      </w:pPr>
    </w:p>
    <w:p>
      <w:pPr>
        <w:ind w:right="80" w:firstLine="486"/>
        <w:spacing w:after="0" w:line="268" w:lineRule="auto"/>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 Rafael Lizardi, Senior Vice President and Chief Financial Officer of Texas Instruments Incorporated (the “Company”), hereby certifies that, to his knowledge:</w:t>
      </w:r>
    </w:p>
    <w:p>
      <w:pPr>
        <w:spacing w:after="0" w:line="171" w:lineRule="exact"/>
        <w:rPr>
          <w:sz w:val="20"/>
          <w:szCs w:val="20"/>
          <w:color w:val="auto"/>
        </w:rPr>
      </w:pPr>
    </w:p>
    <w:p>
      <w:pPr>
        <w:ind w:firstLine="494"/>
        <w:spacing w:after="0" w:line="268" w:lineRule="auto"/>
        <w:tabs>
          <w:tab w:leader="none" w:pos="6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2025, as filed with the Securities and Exchange Commission on the date hereof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280" w:firstLine="494"/>
        <w:spacing w:after="0" w:line="287" w:lineRule="auto"/>
        <w:tabs>
          <w:tab w:leader="none" w:pos="7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July 29, 2025</w:t>
      </w:r>
    </w:p>
    <w:p>
      <w:pPr>
        <w:spacing w:after="0" w:line="306"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/s/ Rafael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17780</wp:posOffset>
            </wp:positionV>
            <wp:extent cx="19627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6"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Rafael Lizardi</w:t>
      </w:r>
    </w:p>
    <w:p>
      <w:pPr>
        <w:jc w:val="center"/>
        <w:ind w:left="8120"/>
        <w:spacing w:after="0" w:line="203" w:lineRule="auto"/>
        <w:rPr>
          <w:sz w:val="20"/>
          <w:szCs w:val="20"/>
          <w:color w:val="auto"/>
        </w:rPr>
      </w:pPr>
      <w:r>
        <w:rPr>
          <w:rFonts w:ascii="Arial" w:cs="Arial" w:eastAsia="Arial" w:hAnsi="Arial"/>
          <w:sz w:val="18"/>
          <w:szCs w:val="18"/>
          <w:color w:val="auto"/>
        </w:rPr>
        <w:t>Senior Vice President and</w:t>
      </w:r>
    </w:p>
    <w:p>
      <w:pPr>
        <w:jc w:val="center"/>
        <w:ind w:left="81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decimal"/>
      <w:start w:val="2"/>
    </w:lvl>
  </w:abstractNum>
  <w:abstractNum w:abstractNumId="6">
    <w:nsid w:val="109CF92E"/>
    <w:multiLevelType w:val="hybridMultilevel"/>
    <w:lvl w:ilvl="0">
      <w:lvlJc w:val="left"/>
      <w:lvlText w:val="%1."/>
      <w:numFmt w:val="decimal"/>
      <w:start w:val="4"/>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5"/>
    </w:lvl>
  </w:abstractNum>
  <w:abstractNum w:abstractNumId="9">
    <w:nsid w:val="1BEFD79F"/>
    <w:multiLevelType w:val="hybridMultilevel"/>
    <w:lvl w:ilvl="0">
      <w:lvlJc w:val="left"/>
      <w:lvlText w:val="%1."/>
      <w:numFmt w:val="decimal"/>
      <w:start w:val="1"/>
    </w:lvl>
    <w:lvl w:ilvl="1">
      <w:lvlJc w:val="left"/>
      <w:lvlText w:val="(%2)"/>
      <w:numFmt w:val="lowerLetter"/>
      <w:start w:val="1"/>
    </w:lvl>
  </w:abstractNum>
  <w:abstractNum w:abstractNumId="10">
    <w:nsid w:val="41A7C4C9"/>
    <w:multiLevelType w:val="hybridMultilevel"/>
    <w:lvl w:ilvl="0">
      <w:lvlJc w:val="left"/>
      <w:lvlText w:val="%1."/>
      <w:numFmt w:val="decimal"/>
      <w:start w:val="2"/>
    </w:lvl>
  </w:abstractNum>
  <w:abstractNum w:abstractNumId="11">
    <w:nsid w:val="6B68079A"/>
    <w:multiLevelType w:val="hybridMultilevel"/>
    <w:lvl w:ilvl="0">
      <w:lvlJc w:val="left"/>
      <w:lvlText w:val="•"/>
      <w:numFmt w:val="bullet"/>
      <w:start w:val="1"/>
    </w:lvl>
    <w:lvl w:ilvl="1">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
      <w:numFmt w:val="bullet"/>
      <w:start w:val="1"/>
    </w:lvl>
    <w:lvl w:ilvl="1">
      <w:lvlJc w:val="left"/>
      <w:lvlText w:val="%2"/>
      <w:numFmt w:val="decimal"/>
      <w:start w:val="104"/>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lowerRoman"/>
      <w:start w:val="1"/>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45" Type="http://schemas.openxmlformats.org/officeDocument/2006/relationships/hyperlink" Target="https://www.sec.gov/Archives/edgar/data/97476/000009747615000003/txn-12312014xexhibit3a.htm" TargetMode="External"/><Relationship Id="rId46" Type="http://schemas.openxmlformats.org/officeDocument/2006/relationships/hyperlink" Target="https://www.sec.gov/Archives/edgar/data/97476/000119312522018409/d252810dex3.htm" TargetMode="External"/><Relationship Id="rId47" Type="http://schemas.openxmlformats.org/officeDocument/2006/relationships/hyperlink" Target="https://www.sec.gov/Archives/edgar/data/97476/000119312525125915/d94382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2025-07-29T08:53:38Z</dcterms:created>
  <dcterms:modified xsi:type="dcterms:W3CDTF">2025-07-29T08:53:38Z</dcterms:modified>
</cp:coreProperties>
</file>