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49530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51435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21" w:lineRule="exact"/>
        <w:rPr>
          <w:sz w:val="24"/>
          <w:szCs w:val="24"/>
          <w:color w:val="auto"/>
        </w:rPr>
      </w:pPr>
    </w:p>
    <w:p>
      <w:pPr>
        <w:ind w:left="740" w:right="320" w:hanging="714"/>
        <w:spacing w:after="0" w:line="247" w:lineRule="auto"/>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2025</w:t>
      </w:r>
    </w:p>
    <w:p>
      <w:pPr>
        <w:spacing w:after="0" w:line="40" w:lineRule="exact"/>
        <w:rPr>
          <w:sz w:val="24"/>
          <w:szCs w:val="24"/>
          <w:color w:val="auto"/>
        </w:rPr>
      </w:pPr>
    </w:p>
    <w:p>
      <w:pPr>
        <w:ind w:left="760" w:right="320" w:hanging="721"/>
        <w:spacing w:after="0" w:line="247" w:lineRule="auto"/>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0"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34925</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1400" w:type="dxa"/>
        <w:tblCellMar>
          <w:top w:w="0" w:type="dxa"/>
          <w:left w:w="0" w:type="dxa"/>
          <w:bottom w:w="0" w:type="dxa"/>
          <w:right w:w="0" w:type="dxa"/>
        </w:tblCellMar>
      </w:tblPr>
      <w:tr>
        <w:trPr>
          <w:trHeight w:val="239"/>
        </w:trPr>
        <w:tc>
          <w:tcPr>
            <w:tcW w:w="4340" w:type="dxa"/>
            <w:vAlign w:val="bottom"/>
          </w:tcPr>
          <w:p>
            <w:pPr>
              <w:jc w:val="center"/>
              <w:ind w:right="1379"/>
              <w:spacing w:after="0"/>
              <w:rPr>
                <w:sz w:val="20"/>
                <w:szCs w:val="20"/>
                <w:color w:val="auto"/>
              </w:rPr>
            </w:pPr>
            <w:r>
              <w:rPr>
                <w:rFonts w:ascii="Arial" w:cs="Arial" w:eastAsia="Arial" w:hAnsi="Arial"/>
                <w:sz w:val="18"/>
                <w:szCs w:val="18"/>
                <w:b w:val="1"/>
                <w:bCs w:val="1"/>
                <w:color w:val="auto"/>
              </w:rPr>
              <w:t>Delaware</w:t>
            </w:r>
          </w:p>
        </w:tc>
        <w:tc>
          <w:tcPr>
            <w:tcW w:w="3840" w:type="dxa"/>
            <w:vAlign w:val="bottom"/>
          </w:tcPr>
          <w:p>
            <w:pPr>
              <w:jc w:val="right"/>
              <w:ind w:right="619"/>
              <w:spacing w:after="0"/>
              <w:rPr>
                <w:sz w:val="20"/>
                <w:szCs w:val="20"/>
                <w:color w:val="auto"/>
              </w:rPr>
            </w:pPr>
            <w:r>
              <w:rPr>
                <w:rFonts w:ascii="Arial" w:cs="Arial" w:eastAsia="Arial" w:hAnsi="Arial"/>
                <w:sz w:val="18"/>
                <w:szCs w:val="18"/>
                <w:b w:val="1"/>
                <w:bCs w:val="1"/>
                <w:color w:val="auto"/>
              </w:rPr>
              <w:t>75-0289970</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(State of Incorporation)</w:t>
            </w:r>
          </w:p>
        </w:tc>
        <w:tc>
          <w:tcPr>
            <w:tcW w:w="3840" w:type="dxa"/>
            <w:vAlign w:val="bottom"/>
          </w:tcPr>
          <w:p>
            <w:pPr>
              <w:jc w:val="center"/>
              <w:ind w:left="1399"/>
              <w:spacing w:after="0"/>
              <w:rPr>
                <w:sz w:val="20"/>
                <w:szCs w:val="20"/>
                <w:color w:val="auto"/>
              </w:rPr>
            </w:pPr>
            <w:r>
              <w:rPr>
                <w:rFonts w:ascii="Arial" w:cs="Arial" w:eastAsia="Arial" w:hAnsi="Arial"/>
                <w:sz w:val="14"/>
                <w:szCs w:val="14"/>
                <w:b w:val="1"/>
                <w:bCs w:val="1"/>
                <w:color w:val="auto"/>
              </w:rPr>
              <w:t>(I.R.S. Employer Identification No.)</w:t>
            </w:r>
          </w:p>
        </w:tc>
      </w:tr>
      <w:tr>
        <w:trPr>
          <w:trHeight w:val="344"/>
        </w:trPr>
        <w:tc>
          <w:tcPr>
            <w:tcW w:w="4340" w:type="dxa"/>
            <w:vAlign w:val="bottom"/>
          </w:tcPr>
          <w:p>
            <w:pPr>
              <w:jc w:val="center"/>
              <w:ind w:right="1399"/>
              <w:spacing w:after="0"/>
              <w:rPr>
                <w:sz w:val="20"/>
                <w:szCs w:val="20"/>
                <w:color w:val="auto"/>
              </w:rPr>
            </w:pPr>
            <w:r>
              <w:rPr>
                <w:rFonts w:ascii="Arial" w:cs="Arial" w:eastAsia="Arial" w:hAnsi="Arial"/>
                <w:sz w:val="18"/>
                <w:szCs w:val="18"/>
                <w:b w:val="1"/>
                <w:bCs w:val="1"/>
                <w:color w:val="auto"/>
                <w:w w:val="99"/>
              </w:rPr>
              <w:t>12500 TI Boulevard, Dallas, Texas</w:t>
            </w:r>
          </w:p>
        </w:tc>
        <w:tc>
          <w:tcPr>
            <w:tcW w:w="3840" w:type="dxa"/>
            <w:vAlign w:val="bottom"/>
          </w:tcPr>
          <w:p>
            <w:pPr>
              <w:jc w:val="right"/>
              <w:ind w:right="859"/>
              <w:spacing w:after="0"/>
              <w:rPr>
                <w:sz w:val="20"/>
                <w:szCs w:val="20"/>
                <w:color w:val="auto"/>
              </w:rPr>
            </w:pPr>
            <w:r>
              <w:rPr>
                <w:rFonts w:ascii="Arial" w:cs="Arial" w:eastAsia="Arial" w:hAnsi="Arial"/>
                <w:sz w:val="18"/>
                <w:szCs w:val="18"/>
                <w:b w:val="1"/>
                <w:bCs w:val="1"/>
                <w:color w:val="auto"/>
              </w:rPr>
              <w:t>75243</w:t>
            </w:r>
          </w:p>
        </w:tc>
      </w:tr>
      <w:tr>
        <w:trPr>
          <w:trHeight w:val="196"/>
        </w:trPr>
        <w:tc>
          <w:tcPr>
            <w:tcW w:w="4340" w:type="dxa"/>
            <w:vAlign w:val="bottom"/>
          </w:tcPr>
          <w:p>
            <w:pPr>
              <w:jc w:val="center"/>
              <w:ind w:right="1379"/>
              <w:spacing w:after="0"/>
              <w:rPr>
                <w:sz w:val="20"/>
                <w:szCs w:val="20"/>
                <w:color w:val="auto"/>
              </w:rPr>
            </w:pPr>
            <w:r>
              <w:rPr>
                <w:rFonts w:ascii="Arial" w:cs="Arial" w:eastAsia="Arial" w:hAnsi="Arial"/>
                <w:sz w:val="14"/>
                <w:szCs w:val="14"/>
                <w:b w:val="1"/>
                <w:bCs w:val="1"/>
                <w:color w:val="auto"/>
              </w:rPr>
              <w:t>(Address of principal executive offices)</w:t>
            </w:r>
          </w:p>
        </w:tc>
        <w:tc>
          <w:tcPr>
            <w:tcW w:w="3840" w:type="dxa"/>
            <w:vAlign w:val="bottom"/>
          </w:tcPr>
          <w:p>
            <w:pPr>
              <w:jc w:val="center"/>
              <w:ind w:left="1379"/>
              <w:spacing w:after="0"/>
              <w:rPr>
                <w:sz w:val="20"/>
                <w:szCs w:val="20"/>
                <w:color w:val="auto"/>
              </w:rPr>
            </w:pPr>
            <w:r>
              <w:rPr>
                <w:rFonts w:ascii="Arial" w:cs="Arial" w:eastAsia="Arial" w:hAnsi="Arial"/>
                <w:sz w:val="14"/>
                <w:szCs w:val="14"/>
                <w:b w:val="1"/>
                <w:bCs w:val="1"/>
                <w:color w:val="auto"/>
              </w:rPr>
              <w:t>(Zip Code)</w:t>
            </w:r>
          </w:p>
        </w:tc>
      </w:tr>
    </w:tbl>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92075</wp:posOffset>
            </wp:positionV>
            <wp:extent cx="4166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5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TXN</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84" w:lineRule="exact"/>
        <w:rPr>
          <w:sz w:val="24"/>
          <w:szCs w:val="24"/>
          <w:color w:val="auto"/>
        </w:rPr>
      </w:pPr>
    </w:p>
    <w:p>
      <w:pPr>
        <w:ind w:right="16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00"/>
        <w:spacing w:after="0" w:line="22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24" w:lineRule="exact"/>
        <w:rPr>
          <w:sz w:val="24"/>
          <w:szCs w:val="24"/>
          <w:color w:val="auto"/>
        </w:rPr>
      </w:pPr>
    </w:p>
    <w:p>
      <w:pPr>
        <w:jc w:val="both"/>
        <w:ind w:right="34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164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9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8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580" w:type="dxa"/>
            <w:vAlign w:val="bottom"/>
          </w:tcPr>
          <w:p>
            <w:pPr>
              <w:ind w:left="20"/>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66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55"/>
        </w:trPr>
        <w:tc>
          <w:tcPr>
            <w:tcW w:w="10580" w:type="dxa"/>
            <w:vAlign w:val="bottom"/>
            <w:vMerge w:val="restart"/>
          </w:tcPr>
          <w:p>
            <w:pPr>
              <w:ind w:left="20"/>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10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9"/>
        </w:trPr>
        <w:tc>
          <w:tcPr>
            <w:tcW w:w="10580" w:type="dxa"/>
            <w:vAlign w:val="bottom"/>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580" w:type="dxa"/>
            <w:vAlign w:val="bottom"/>
          </w:tcPr>
          <w:p>
            <w:pPr>
              <w:jc w:val="center"/>
              <w:ind w:left="570"/>
              <w:spacing w:after="0"/>
              <w:rPr>
                <w:sz w:val="20"/>
                <w:szCs w:val="20"/>
                <w:color w:val="auto"/>
              </w:rPr>
            </w:pPr>
            <w:r>
              <w:rPr>
                <w:rFonts w:ascii="Arial" w:cs="Arial" w:eastAsia="Arial" w:hAnsi="Arial"/>
                <w:sz w:val="18"/>
                <w:szCs w:val="18"/>
                <w:color w:val="auto"/>
                <w:w w:val="99"/>
              </w:rPr>
              <w:t>908,472,079</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0580" w:type="dxa"/>
            <w:vAlign w:val="bottom"/>
          </w:tcPr>
          <w:p>
            <w:pPr>
              <w:jc w:val="center"/>
              <w:ind w:left="590"/>
              <w:spacing w:after="0"/>
              <w:rPr>
                <w:sz w:val="20"/>
                <w:szCs w:val="20"/>
                <w:color w:val="auto"/>
              </w:rPr>
            </w:pPr>
            <w:r>
              <w:rPr>
                <w:rFonts w:ascii="Arial" w:cs="Arial" w:eastAsia="Arial" w:hAnsi="Arial"/>
                <w:sz w:val="18"/>
                <w:szCs w:val="18"/>
                <w:color w:val="auto"/>
                <w:w w:val="99"/>
              </w:rPr>
              <w:t>Number of shares of Registrant’s common stock outstanding as of</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580" w:type="dxa"/>
            <w:vAlign w:val="bottom"/>
          </w:tcPr>
          <w:p>
            <w:pPr>
              <w:jc w:val="center"/>
              <w:ind w:left="570"/>
              <w:spacing w:after="0"/>
              <w:rPr>
                <w:sz w:val="20"/>
                <w:szCs w:val="20"/>
                <w:color w:val="auto"/>
              </w:rPr>
            </w:pPr>
            <w:r>
              <w:rPr>
                <w:rFonts w:ascii="Arial" w:cs="Arial" w:eastAsia="Arial" w:hAnsi="Arial"/>
                <w:sz w:val="18"/>
                <w:szCs w:val="18"/>
                <w:color w:val="auto"/>
              </w:rPr>
              <w:t>April 15, 2025</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1058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540" w:type="dxa"/>
            <w:vAlign w:val="bottom"/>
            <w:vMerge w:val="restart"/>
          </w:tcPr>
          <w:p>
            <w:pPr>
              <w:spacing w:after="0"/>
              <w:rPr>
                <w:sz w:val="20"/>
                <w:szCs w:val="20"/>
                <w:color w:val="auto"/>
              </w:rPr>
            </w:pPr>
            <w:r>
              <w:rPr>
                <w:rFonts w:ascii="Arial" w:cs="Arial" w:eastAsia="Arial" w:hAnsi="Arial"/>
                <w:sz w:val="20"/>
                <w:szCs w:val="20"/>
                <w:b w:val="1"/>
                <w:bCs w:val="1"/>
                <w:color w:val="auto"/>
              </w:rPr>
              <w:t>Consolidated Statements of Income</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For Three Months Ended</w:t>
            </w:r>
          </w:p>
        </w:tc>
        <w:tc>
          <w:tcPr>
            <w:tcW w:w="0" w:type="dxa"/>
            <w:vAlign w:val="bottom"/>
          </w:tcPr>
          <w:p>
            <w:pPr>
              <w:spacing w:after="0"/>
              <w:rPr>
                <w:sz w:val="1"/>
                <w:szCs w:val="1"/>
                <w:color w:val="auto"/>
              </w:rPr>
            </w:pPr>
          </w:p>
        </w:tc>
      </w:tr>
      <w:tr>
        <w:trPr>
          <w:trHeight w:val="259"/>
        </w:trPr>
        <w:tc>
          <w:tcPr>
            <w:tcW w:w="854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640" w:type="dxa"/>
            <w:vAlign w:val="bottom"/>
            <w:tcBorders>
              <w:bottom w:val="single" w:sz="8" w:color="DBDBDB"/>
            </w:tcBorders>
            <w:gridSpan w:val="2"/>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864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4,069</w:t>
            </w:r>
          </w:p>
        </w:tc>
        <w:tc>
          <w:tcPr>
            <w:tcW w:w="12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DBDBDB"/>
            </w:tcBorders>
            <w:gridSpan w:val="2"/>
          </w:tcPr>
          <w:p>
            <w:pPr>
              <w:spacing w:after="0"/>
              <w:rPr>
                <w:sz w:val="20"/>
                <w:szCs w:val="20"/>
                <w:color w:val="auto"/>
              </w:rPr>
            </w:pPr>
            <w:r>
              <w:rPr>
                <w:rFonts w:ascii="Arial" w:cs="Arial" w:eastAsia="Arial" w:hAnsi="Arial"/>
                <w:sz w:val="18"/>
                <w:szCs w:val="18"/>
                <w:color w:val="auto"/>
              </w:rPr>
              <w:t>Cost of revenue (COR)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1,756</w:t>
            </w:r>
          </w:p>
        </w:tc>
        <w:tc>
          <w:tcPr>
            <w:tcW w:w="12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23"/>
        </w:trPr>
        <w:tc>
          <w:tcPr>
            <w:tcW w:w="864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2,313</w:t>
            </w:r>
          </w:p>
        </w:tc>
        <w:tc>
          <w:tcPr>
            <w:tcW w:w="1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29"/>
        </w:trPr>
        <w:tc>
          <w:tcPr>
            <w:tcW w:w="8640" w:type="dxa"/>
            <w:vAlign w:val="bottom"/>
            <w:gridSpan w:val="2"/>
          </w:tcPr>
          <w:p>
            <w:pPr>
              <w:spacing w:after="0"/>
              <w:rPr>
                <w:sz w:val="20"/>
                <w:szCs w:val="20"/>
                <w:color w:val="auto"/>
              </w:rPr>
            </w:pPr>
            <w:r>
              <w:rPr>
                <w:rFonts w:ascii="Arial" w:cs="Arial" w:eastAsia="Arial" w:hAnsi="Arial"/>
                <w:sz w:val="18"/>
                <w:szCs w:val="18"/>
                <w:color w:val="auto"/>
              </w:rPr>
              <w:t>Research and development (R&amp;D)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9"/>
        </w:trPr>
        <w:tc>
          <w:tcPr>
            <w:tcW w:w="864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Selling, general and administrative (SG&amp;A)</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472</w:t>
            </w:r>
          </w:p>
        </w:tc>
        <w:tc>
          <w:tcPr>
            <w:tcW w:w="1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Restructuring charges/other</w:t>
            </w: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8640" w:type="dxa"/>
            <w:vAlign w:val="bottom"/>
            <w:tcBorders>
              <w:top w:val="single" w:sz="8" w:color="DBDBDB"/>
            </w:tcBorders>
            <w:gridSpan w:val="2"/>
            <w:shd w:val="clear" w:color="auto" w:fill="DBDBDB"/>
          </w:tcPr>
          <w:p>
            <w:pPr>
              <w:spacing w:after="0"/>
              <w:rPr>
                <w:sz w:val="20"/>
                <w:szCs w:val="20"/>
                <w:color w:val="auto"/>
              </w:rPr>
            </w:pPr>
            <w:r>
              <w:rPr>
                <w:rFonts w:ascii="Arial" w:cs="Arial" w:eastAsia="Arial" w:hAnsi="Arial"/>
                <w:sz w:val="18"/>
                <w:szCs w:val="18"/>
                <w:color w:val="auto"/>
              </w:rPr>
              <w:t>Operating profit</w:t>
            </w:r>
          </w:p>
        </w:tc>
        <w:tc>
          <w:tcPr>
            <w:tcW w:w="28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1,324</w:t>
            </w:r>
          </w:p>
        </w:tc>
        <w:tc>
          <w:tcPr>
            <w:tcW w:w="12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Other income (expense), net (OI&amp;E)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864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Interest and debt expense</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128</w:t>
            </w:r>
          </w:p>
        </w:tc>
        <w:tc>
          <w:tcPr>
            <w:tcW w:w="12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29"/>
        </w:trPr>
        <w:tc>
          <w:tcPr>
            <w:tcW w:w="864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97</w:t>
            </w:r>
          </w:p>
        </w:tc>
        <w:tc>
          <w:tcPr>
            <w:tcW w:w="12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0"/>
        </w:trPr>
        <w:tc>
          <w:tcPr>
            <w:tcW w:w="85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40" w:type="dxa"/>
            <w:vAlign w:val="bottom"/>
            <w:gridSpan w:val="2"/>
          </w:tcPr>
          <w:p>
            <w:pPr>
              <w:spacing w:after="0"/>
              <w:rPr>
                <w:sz w:val="20"/>
                <w:szCs w:val="20"/>
                <w:color w:val="auto"/>
              </w:rPr>
            </w:pPr>
            <w:r>
              <w:rPr>
                <w:rFonts w:ascii="Arial" w:cs="Arial" w:eastAsia="Arial" w:hAnsi="Arial"/>
                <w:sz w:val="18"/>
                <w:szCs w:val="18"/>
                <w:color w:val="auto"/>
              </w:rPr>
              <w:t>Earnings per common share (EPS):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640" w:type="dxa"/>
            <w:vAlign w:val="bottom"/>
            <w:tcBorders>
              <w:bottom w:val="single" w:sz="8" w:color="DBDBDB"/>
            </w:tcBorders>
            <w:gridSpan w:val="2"/>
            <w:shd w:val="clear" w:color="auto" w:fill="DBDBDB"/>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1.29</w:t>
            </w:r>
          </w:p>
        </w:tc>
        <w:tc>
          <w:tcPr>
            <w:tcW w:w="12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85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4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85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Average shares outstanding:</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640" w:type="dxa"/>
            <w:vAlign w:val="bottom"/>
            <w:tcBorders>
              <w:bottom w:val="single" w:sz="8" w:color="DBDBDB"/>
            </w:tcBorders>
            <w:gridSpan w:val="2"/>
            <w:shd w:val="clear" w:color="auto" w:fill="DBDBDB"/>
          </w:tcPr>
          <w:p>
            <w:pPr>
              <w:ind w:left="1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910</w:t>
            </w:r>
          </w:p>
        </w:tc>
        <w:tc>
          <w:tcPr>
            <w:tcW w:w="12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auto"/>
            </w:tcBorders>
            <w:shd w:val="clear" w:color="auto" w:fill="DBDBDB"/>
          </w:tcPr>
          <w:p>
            <w:pPr>
              <w:spacing w:after="0"/>
              <w:rPr>
                <w:sz w:val="21"/>
                <w:szCs w:val="21"/>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
        </w:trPr>
        <w:tc>
          <w:tcPr>
            <w:tcW w:w="85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4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0" w:right="76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640" w:type="dxa"/>
            <w:vAlign w:val="bottom"/>
            <w:shd w:val="clear" w:color="auto" w:fill="DBDBDB"/>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1,179</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1,105</w:t>
            </w:r>
          </w:p>
        </w:tc>
      </w:tr>
      <w:tr>
        <w:trPr>
          <w:trHeight w:val="230"/>
        </w:trPr>
        <w:tc>
          <w:tcPr>
            <w:tcW w:w="864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Income allocated to RSUs</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86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Income allocated to common stock for diluted EPS</w:t>
            </w: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1,173</w:t>
            </w:r>
          </w:p>
        </w:tc>
        <w:tc>
          <w:tcPr>
            <w:tcW w:w="12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1,100</w:t>
            </w:r>
          </w:p>
        </w:tc>
      </w:tr>
      <w:tr>
        <w:trPr>
          <w:trHeight w:val="20"/>
        </w:trPr>
        <w:tc>
          <w:tcPr>
            <w:tcW w:w="864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6"/>
        </w:trPr>
        <w:tc>
          <w:tcPr>
            <w:tcW w:w="86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Comprehensive Income</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For Three Months Ended</w:t>
            </w:r>
          </w:p>
        </w:tc>
        <w:tc>
          <w:tcPr>
            <w:tcW w:w="0" w:type="dxa"/>
            <w:vAlign w:val="bottom"/>
          </w:tcPr>
          <w:p>
            <w:pPr>
              <w:spacing w:after="0"/>
              <w:rPr>
                <w:sz w:val="1"/>
                <w:szCs w:val="1"/>
                <w:color w:val="auto"/>
              </w:rPr>
            </w:pPr>
          </w:p>
        </w:tc>
      </w:tr>
      <w:tr>
        <w:trPr>
          <w:trHeight w:val="259"/>
        </w:trPr>
        <w:tc>
          <w:tcPr>
            <w:tcW w:w="86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1,179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Net actuarial losses of defined benefit plans: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Adjustments, net of tax effect of $3 and ($2)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Recognized within net income, net of tax effect of ($1) and ($1)</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Change in fair value, net of tax effect of $0 and $0</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Available-for-sale investments: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Unrealized gains (losses), net of tax effect of $0 and $2</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1,172</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6"/>
        </w:trPr>
        <w:tc>
          <w:tcPr>
            <w:tcW w:w="832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Balance Sheets</w:t>
            </w:r>
          </w:p>
        </w:tc>
        <w:tc>
          <w:tcPr>
            <w:tcW w:w="12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7"/>
                <w:szCs w:val="17"/>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9"/>
        </w:trPr>
        <w:tc>
          <w:tcPr>
            <w:tcW w:w="832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5"/>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2,763</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receivable, net of allowances of ($16) and ($21)</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1,860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20"/>
              <w:spacing w:after="0"/>
              <w:rPr>
                <w:sz w:val="20"/>
                <w:szCs w:val="20"/>
                <w:color w:val="auto"/>
              </w:rPr>
            </w:pPr>
            <w:r>
              <w:rPr>
                <w:rFonts w:ascii="Arial" w:cs="Arial" w:eastAsia="Arial" w:hAnsi="Arial"/>
                <w:sz w:val="18"/>
                <w:szCs w:val="18"/>
                <w:color w:val="auto"/>
              </w:rPr>
              <w:t>Raw materials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Work in process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2,370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1,924</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4,687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1,534</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13,086</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15,026</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16,036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15,254</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(4,225)</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2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11,811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11,347</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2,965</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35,509</w:t>
            </w:r>
          </w:p>
        </w:tc>
        <w:tc>
          <w:tcPr>
            <w:tcW w:w="0" w:type="dxa"/>
            <w:vAlign w:val="bottom"/>
          </w:tcPr>
          <w:p>
            <w:pPr>
              <w:spacing w:after="0"/>
              <w:rPr>
                <w:sz w:val="1"/>
                <w:szCs w:val="1"/>
                <w:color w:val="auto"/>
              </w:rPr>
            </w:pPr>
          </w:p>
        </w:tc>
      </w:tr>
      <w:tr>
        <w:trPr>
          <w:trHeight w:val="20"/>
        </w:trPr>
        <w:tc>
          <w:tcPr>
            <w:tcW w:w="83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866</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2,489</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12,848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12,846</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1,843</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17,351</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18,606</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Preferred stock, $25 par value. Shares authorized – 10; none issued</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Paid-in capital</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52,196</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52,262</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Treasury common stock at cost</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Shares: March 31, 2025 – 832; December 31, 2024 – 830</w:t>
            </w:r>
          </w:p>
        </w:tc>
        <w:tc>
          <w:tcPr>
            <w:tcW w:w="2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(41,442)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(40,895)</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Accumulated other comprehensive income (loss), net of taxes (AOCI)</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16,406</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16,903</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35,509</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6"/>
        </w:trPr>
        <w:tc>
          <w:tcPr>
            <w:tcW w:w="86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Consolidated Statements of Cash Flows</w:t>
            </w:r>
          </w:p>
        </w:tc>
        <w:tc>
          <w:tcPr>
            <w:tcW w:w="1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For Three Months Ended</w:t>
            </w:r>
          </w:p>
        </w:tc>
        <w:tc>
          <w:tcPr>
            <w:tcW w:w="0" w:type="dxa"/>
            <w:vAlign w:val="bottom"/>
          </w:tcPr>
          <w:p>
            <w:pPr>
              <w:spacing w:after="0"/>
              <w:rPr>
                <w:sz w:val="1"/>
                <w:szCs w:val="1"/>
                <w:color w:val="auto"/>
              </w:rPr>
            </w:pPr>
          </w:p>
        </w:tc>
      </w:tr>
      <w:tr>
        <w:trPr>
          <w:trHeight w:val="259"/>
        </w:trPr>
        <w:tc>
          <w:tcPr>
            <w:tcW w:w="860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1,179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Adjustments to net income: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Amortization of capitalized software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Stock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Gains on sales of assets</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870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132</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849</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196"/>
        </w:trPr>
        <w:tc>
          <w:tcPr>
            <w:tcW w:w="86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U.S. CHIPS and Science Act (CHIPS Act) incentives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asset sales</w:t>
            </w:r>
          </w:p>
        </w:tc>
        <w:tc>
          <w:tcPr>
            <w:tcW w:w="2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2,807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1,253</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196"/>
        </w:trPr>
        <w:tc>
          <w:tcPr>
            <w:tcW w:w="8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Repayment of debt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700" w:type="dxa"/>
            <w:vAlign w:val="bottom"/>
            <w:gridSpan w:val="2"/>
          </w:tcPr>
          <w:p>
            <w:pPr>
              <w:ind w:left="14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(2,539)</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196"/>
        </w:trPr>
        <w:tc>
          <w:tcPr>
            <w:tcW w:w="86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3,200</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2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0"/>
        </w:trPr>
        <w:tc>
          <w:tcPr>
            <w:tcW w:w="86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70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Investment tax credit (ITC) used to reduce income taxes payable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DBDBDB"/>
            </w:tcBorders>
            <w:gridSpan w:val="2"/>
          </w:tcPr>
          <w:p>
            <w:pPr>
              <w:ind w:left="140"/>
              <w:spacing w:after="0"/>
              <w:rPr>
                <w:sz w:val="20"/>
                <w:szCs w:val="20"/>
                <w:color w:val="auto"/>
              </w:rPr>
            </w:pPr>
            <w:r>
              <w:rPr>
                <w:rFonts w:ascii="Arial" w:cs="Arial" w:eastAsia="Arial" w:hAnsi="Arial"/>
                <w:sz w:val="18"/>
                <w:szCs w:val="18"/>
                <w:color w:val="auto"/>
              </w:rPr>
              <w:t>Proceeds from CHIPS Act incentives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cash benefit related to the CHIPS Act</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260</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We have two reportable segments, Analog and Embedded Processing, each of which represents groups of products that have similar design and development requirements, product characteristics and manufacturing processes. Our segments reflect how our chief operating decision maker (CODM), which is our chief executive officer, allocates resources and measures results.</w:t>
      </w:r>
    </w:p>
    <w:p>
      <w:pPr>
        <w:spacing w:after="0" w:line="176" w:lineRule="exact"/>
        <w:rPr>
          <w:sz w:val="20"/>
          <w:szCs w:val="20"/>
          <w:color w:val="auto"/>
        </w:rPr>
      </w:pPr>
    </w:p>
    <w:p>
      <w:pPr>
        <w:ind w:left="620" w:right="40" w:hanging="329"/>
        <w:spacing w:after="0" w:line="259"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71"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5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Other, we also include items that are not used in evaluating the results of or in allocating resources to our segments. Examples of these items include acquisition, integration and restructuring charges,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spacing w:after="0" w:line="179"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Costs incurred by our centralized manufacturing and support organizations, including depreciation, are charged to the operating segments, including those in Other, on a per-unit basis. Consequently, depreciation expense is not an independently identifiable component within the segments’ results and, therefore, is not provided.</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CODM evaluate operating segments using discrete asset information. We have no material intersegment revenue. The accounting policies of the segments are consistent with those described in the significant accounting policies and practices.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For Three Months Ended March 31, 2025</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Analog</w:t>
            </w:r>
          </w:p>
        </w:tc>
        <w:tc>
          <w:tcPr>
            <w:tcW w:w="140" w:type="dxa"/>
            <w:vAlign w:val="bottom"/>
          </w:tcPr>
          <w:p>
            <w:pPr>
              <w:spacing w:after="0"/>
              <w:rPr>
                <w:sz w:val="12"/>
                <w:szCs w:val="12"/>
                <w:color w:val="auto"/>
              </w:rPr>
            </w:pPr>
          </w:p>
        </w:tc>
        <w:tc>
          <w:tcPr>
            <w:tcW w:w="108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Embedded</w:t>
            </w:r>
          </w:p>
        </w:tc>
        <w:tc>
          <w:tcPr>
            <w:tcW w:w="24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Processing</w:t>
            </w: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16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3,210</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647</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212</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4,069</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Cost of revenue</w:t>
            </w:r>
          </w:p>
        </w:tc>
        <w:tc>
          <w:tcPr>
            <w:tcW w:w="216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1,296</w:t>
            </w: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1,756</w:t>
            </w:r>
          </w:p>
        </w:tc>
        <w:tc>
          <w:tcPr>
            <w:tcW w:w="0" w:type="dxa"/>
            <w:vAlign w:val="bottom"/>
          </w:tcPr>
          <w:p>
            <w:pPr>
              <w:spacing w:after="0"/>
              <w:rPr>
                <w:sz w:val="1"/>
                <w:szCs w:val="1"/>
                <w:color w:val="auto"/>
              </w:rPr>
            </w:pPr>
          </w:p>
        </w:tc>
      </w:tr>
      <w:tr>
        <w:trPr>
          <w:trHeight w:val="223"/>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Gross profit</w:t>
            </w:r>
          </w:p>
        </w:tc>
        <w:tc>
          <w:tcPr>
            <w:tcW w:w="216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1,914</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272</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2,313</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517</w:t>
            </w:r>
          </w:p>
        </w:tc>
        <w:tc>
          <w:tcPr>
            <w:tcW w:w="0" w:type="dxa"/>
            <w:vAlign w:val="bottom"/>
          </w:tcPr>
          <w:p>
            <w:pPr>
              <w:spacing w:after="0"/>
              <w:rPr>
                <w:sz w:val="1"/>
                <w:szCs w:val="1"/>
                <w:color w:val="auto"/>
              </w:rPr>
            </w:pPr>
          </w:p>
        </w:tc>
      </w:tr>
      <w:tr>
        <w:trPr>
          <w:trHeight w:val="229"/>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Selling, general and administrative</w:t>
            </w:r>
          </w:p>
        </w:tc>
        <w:tc>
          <w:tcPr>
            <w:tcW w:w="216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339</w:t>
            </w: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472</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2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160" w:type="dxa"/>
            <w:vAlign w:val="bottom"/>
            <w:vMerge w:val="restart"/>
          </w:tcPr>
          <w:p>
            <w:pPr>
              <w:jc w:val="right"/>
              <w:ind w:right="67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42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8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For Three Months Ended March 31, 2024</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Analog</w:t>
            </w:r>
          </w:p>
        </w:tc>
        <w:tc>
          <w:tcPr>
            <w:tcW w:w="140" w:type="dxa"/>
            <w:vAlign w:val="bottom"/>
          </w:tcPr>
          <w:p>
            <w:pPr>
              <w:spacing w:after="0"/>
              <w:rPr>
                <w:sz w:val="12"/>
                <w:szCs w:val="12"/>
                <w:color w:val="auto"/>
              </w:rPr>
            </w:pPr>
          </w:p>
        </w:tc>
        <w:tc>
          <w:tcPr>
            <w:tcW w:w="108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Embedded</w:t>
            </w:r>
          </w:p>
        </w:tc>
        <w:tc>
          <w:tcPr>
            <w:tcW w:w="24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Processing</w:t>
            </w: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2,836</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23"/>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1,682</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0"/>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Restructuring charges/other</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8"/>
        </w:trPr>
        <w:tc>
          <w:tcPr>
            <w:tcW w:w="64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0"/>
        </w:trPr>
        <w:tc>
          <w:tcPr>
            <w:tcW w:w="644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3" w:lineRule="exact"/>
        <w:rPr>
          <w:sz w:val="20"/>
          <w:szCs w:val="20"/>
          <w:color w:val="auto"/>
        </w:rPr>
      </w:pPr>
    </w:p>
    <w:p>
      <w:pPr>
        <w:ind w:right="300"/>
        <w:spacing w:after="0" w:line="279" w:lineRule="auto"/>
        <w:rPr>
          <w:sz w:val="20"/>
          <w:szCs w:val="20"/>
          <w:color w:val="auto"/>
        </w:rPr>
      </w:pPr>
      <w:r>
        <w:rPr>
          <w:rFonts w:ascii="Arial" w:cs="Arial" w:eastAsia="Arial" w:hAnsi="Arial"/>
          <w:sz w:val="18"/>
          <w:szCs w:val="18"/>
          <w:color w:val="auto"/>
        </w:rPr>
        <w:t>Our estimate for revenue based on the geographic location of our end customers’ headquarters, which represents where critical decisions are made,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For Three Months Ended</w:t>
            </w:r>
          </w:p>
        </w:tc>
        <w:tc>
          <w:tcPr>
            <w:tcW w:w="680" w:type="dxa"/>
            <w:vAlign w:val="bottom"/>
          </w:tcPr>
          <w:p>
            <w:pPr>
              <w:spacing w:after="0"/>
              <w:rPr>
                <w:sz w:val="17"/>
                <w:szCs w:val="17"/>
                <w:color w:val="auto"/>
              </w:rPr>
            </w:pPr>
          </w:p>
        </w:tc>
      </w:tr>
      <w:tr>
        <w:trPr>
          <w:trHeight w:val="204"/>
        </w:trPr>
        <w:tc>
          <w:tcPr>
            <w:tcW w:w="7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96"/>
        </w:trPr>
        <w:tc>
          <w:tcPr>
            <w:tcW w:w="72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r>
      <w:tr>
        <w:trPr>
          <w:trHeight w:val="211"/>
        </w:trPr>
        <w:tc>
          <w:tcPr>
            <w:tcW w:w="72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r>
      <w:tr>
        <w:trPr>
          <w:trHeight w:val="229"/>
        </w:trPr>
        <w:tc>
          <w:tcPr>
            <w:tcW w:w="72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1,518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37 %</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72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China</w:t>
            </w: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826</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17</w:t>
            </w:r>
          </w:p>
        </w:tc>
      </w:tr>
      <w:tr>
        <w:trPr>
          <w:trHeight w:val="229"/>
        </w:trPr>
        <w:tc>
          <w:tcPr>
            <w:tcW w:w="7260" w:type="dxa"/>
            <w:vAlign w:val="bottom"/>
          </w:tcPr>
          <w:p>
            <w:pPr>
              <w:ind w:left="140"/>
              <w:spacing w:after="0"/>
              <w:rPr>
                <w:sz w:val="20"/>
                <w:szCs w:val="20"/>
                <w:color w:val="auto"/>
              </w:rPr>
            </w:pPr>
            <w:r>
              <w:rPr>
                <w:rFonts w:ascii="Arial" w:cs="Arial" w:eastAsia="Arial" w:hAnsi="Arial"/>
                <w:sz w:val="18"/>
                <w:szCs w:val="18"/>
                <w:color w:val="auto"/>
              </w:rPr>
              <w:t>Rest of Asia</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29"/>
        </w:trPr>
        <w:tc>
          <w:tcPr>
            <w:tcW w:w="72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Europe, Middle East and Africa (a)</w:t>
            </w:r>
          </w:p>
        </w:tc>
        <w:tc>
          <w:tcPr>
            <w:tcW w:w="24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936</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26</w:t>
            </w:r>
          </w:p>
        </w:tc>
      </w:tr>
      <w:tr>
        <w:trPr>
          <w:trHeight w:val="230"/>
        </w:trPr>
        <w:tc>
          <w:tcPr>
            <w:tcW w:w="7260" w:type="dxa"/>
            <w:vAlign w:val="bottom"/>
          </w:tcPr>
          <w:p>
            <w:pPr>
              <w:ind w:left="140"/>
              <w:spacing w:after="0"/>
              <w:rPr>
                <w:sz w:val="20"/>
                <w:szCs w:val="20"/>
                <w:color w:val="auto"/>
              </w:rPr>
            </w:pPr>
            <w:r>
              <w:rPr>
                <w:rFonts w:ascii="Arial" w:cs="Arial" w:eastAsia="Arial" w:hAnsi="Arial"/>
                <w:sz w:val="18"/>
                <w:szCs w:val="18"/>
                <w:color w:val="auto"/>
              </w:rPr>
              <w:t>Japan</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9</w:t>
            </w:r>
          </w:p>
        </w:tc>
      </w:tr>
      <w:tr>
        <w:trPr>
          <w:trHeight w:val="230"/>
        </w:trPr>
        <w:tc>
          <w:tcPr>
            <w:tcW w:w="72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68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2</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760" w:firstLine="8"/>
        <w:spacing w:after="0" w:line="502" w:lineRule="auto"/>
        <w:tabs>
          <w:tab w:leader="none" w:pos="31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Revenue from end customers headquartered in Germany was 11% and 13% in the first quarters of 2025 and 2024, respectively. 2. </w:t>
      </w:r>
      <w:r>
        <w:rPr>
          <w:rFonts w:ascii="Arial" w:cs="Arial" w:eastAsia="Arial" w:hAnsi="Arial"/>
          <w:sz w:val="18"/>
          <w:szCs w:val="18"/>
          <w:u w:val="single" w:color="auto"/>
          <w:color w:val="auto"/>
        </w:rPr>
        <w:t>Basis of presentation and significant accounting policies and practices</w:t>
      </w:r>
    </w:p>
    <w:p>
      <w:pPr>
        <w:spacing w:after="0"/>
        <w:rPr>
          <w:sz w:val="20"/>
          <w:szCs w:val="20"/>
          <w:color w:val="auto"/>
        </w:rPr>
      </w:pPr>
      <w:r>
        <w:rPr>
          <w:rFonts w:ascii="Arial" w:cs="Arial" w:eastAsia="Arial" w:hAnsi="Arial"/>
          <w:sz w:val="18"/>
          <w:szCs w:val="18"/>
          <w:i w:val="1"/>
          <w:iCs w:val="1"/>
          <w:color w:val="auto"/>
        </w:rPr>
        <w:t>Basis of presentation</w:t>
      </w:r>
    </w:p>
    <w:p>
      <w:pPr>
        <w:spacing w:after="0" w:line="2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2024. The Consolidated Statements of Income, Comprehensive Income and Cash Flows for the periods ended March 31, 2025 and 2024, and the Consolidated Balance Sheet as of March 31, 2025,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2024. The results for the three-month periods are not necessarily indicative of a full year’s results.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For Three Months Ended March 31,</w:t>
            </w: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100" w:type="dxa"/>
            <w:vAlign w:val="bottom"/>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w:t>
            </w:r>
          </w:p>
        </w:tc>
        <w:tc>
          <w:tcPr>
            <w:tcW w:w="108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EPS</w:t>
            </w:r>
          </w:p>
        </w:tc>
      </w:tr>
      <w:tr>
        <w:trPr>
          <w:trHeight w:val="224"/>
        </w:trPr>
        <w:tc>
          <w:tcPr>
            <w:tcW w:w="4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top w:val="single" w:sz="8" w:color="auto"/>
            </w:tcBorders>
            <w:shd w:val="clear" w:color="auto" w:fill="DBDBDB"/>
          </w:tcPr>
          <w:p>
            <w:pPr>
              <w:spacing w:after="0"/>
              <w:rPr>
                <w:sz w:val="19"/>
                <w:szCs w:val="19"/>
                <w:color w:val="auto"/>
              </w:rPr>
            </w:pPr>
          </w:p>
        </w:tc>
        <w:tc>
          <w:tcPr>
            <w:tcW w:w="9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1,179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910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40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0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DBDBDB"/>
            </w:tcBorders>
          </w:tcPr>
          <w:p>
            <w:pPr>
              <w:spacing w:after="0" w:line="20" w:lineRule="exact"/>
              <w:rPr>
                <w:sz w:val="1"/>
                <w:szCs w:val="1"/>
                <w:color w:val="auto"/>
              </w:rPr>
            </w:pPr>
          </w:p>
        </w:tc>
      </w:tr>
      <w:tr>
        <w:trPr>
          <w:trHeight w:val="197"/>
        </w:trPr>
        <w:tc>
          <w:tcPr>
            <w:tcW w:w="4080" w:type="dxa"/>
            <w:vAlign w:val="bottom"/>
            <w:shd w:val="clear" w:color="auto" w:fill="DBDBDB"/>
          </w:tcPr>
          <w:p>
            <w:pPr>
              <w:ind w:left="140"/>
              <w:spacing w:after="0" w:line="196" w:lineRule="exact"/>
              <w:rPr>
                <w:sz w:val="20"/>
                <w:szCs w:val="20"/>
                <w:color w:val="auto"/>
              </w:rPr>
            </w:pPr>
            <w:r>
              <w:rPr>
                <w:rFonts w:ascii="Arial" w:cs="Arial" w:eastAsia="Arial" w:hAnsi="Arial"/>
                <w:sz w:val="18"/>
                <w:szCs w:val="18"/>
                <w:color w:val="auto"/>
              </w:rPr>
              <w:t>Dilutive effect of stock compensation plans</w:t>
            </w:r>
          </w:p>
        </w:tc>
        <w:tc>
          <w:tcPr>
            <w:tcW w:w="1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line="196" w:lineRule="exact"/>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257"/>
        </w:trPr>
        <w:tc>
          <w:tcPr>
            <w:tcW w:w="4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29"/>
        </w:trPr>
        <w:tc>
          <w:tcPr>
            <w:tcW w:w="40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1,179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0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Income allocated to RSUs</w:t>
            </w:r>
          </w:p>
        </w:tc>
        <w:tc>
          <w:tcPr>
            <w:tcW w:w="1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Income allocated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Potentially dilutive securities representing 10 million and 14 million shares of common stock that were outstanding during the first quarters of 2025 and 2024, respectively, were excluded from the computation of diluted earnings per common share during these periods because their effect would have been anti-dilutive.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8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fair value of the swaps and the related deferred compensation liabilities in SG&amp;A.</w:t>
      </w:r>
    </w:p>
    <w:p>
      <w:pPr>
        <w:spacing w:after="0" w:line="171"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these derivative transactions were not material. We do not use derivatives for speculative or trading purposes.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fair values of our derivative financial instruments were not material as of March 31, 2025.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March 31, 2025, the carrying value of long-term debt was $12.85 billion, and the estimated fair value was $11.89 billion. The estimated fair value is measured using broker-dealer quotes, which are Level 2 inputs. See Note 4 for a description of fair value and the definition of Level 2 inputs.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For Three Months Ended</w:t>
            </w:r>
          </w:p>
        </w:tc>
      </w:tr>
      <w:tr>
        <w:trPr>
          <w:trHeight w:val="203"/>
        </w:trPr>
        <w:tc>
          <w:tcPr>
            <w:tcW w:w="8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196"/>
        </w:trPr>
        <w:tc>
          <w:tcPr>
            <w:tcW w:w="844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r>
      <w:tr>
        <w:trPr>
          <w:trHeight w:val="224"/>
        </w:trPr>
        <w:tc>
          <w:tcPr>
            <w:tcW w:w="8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Taxes calculated using the estimated annual effective tax rate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166</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BDBDB"/>
          </w:tcPr>
          <w:p>
            <w:pPr>
              <w:jc w:val="right"/>
              <w:ind w:right="154"/>
              <w:spacing w:after="0"/>
              <w:rPr>
                <w:sz w:val="20"/>
                <w:szCs w:val="20"/>
                <w:color w:val="auto"/>
              </w:rPr>
            </w:pPr>
            <w:r>
              <w:rPr>
                <w:rFonts w:ascii="Arial" w:cs="Arial" w:eastAsia="Arial" w:hAnsi="Arial"/>
                <w:sz w:val="18"/>
                <w:szCs w:val="18"/>
                <w:color w:val="auto"/>
              </w:rPr>
              <w:t>176</w:t>
            </w:r>
          </w:p>
        </w:tc>
      </w:tr>
      <w:tr>
        <w:trPr>
          <w:trHeight w:val="229"/>
        </w:trPr>
        <w:tc>
          <w:tcPr>
            <w:tcW w:w="84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Discrete tax items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12</w:t>
            </w:r>
          </w:p>
        </w:tc>
      </w:tr>
      <w:tr>
        <w:trPr>
          <w:trHeight w:val="248"/>
        </w:trPr>
        <w:tc>
          <w:tcPr>
            <w:tcW w:w="8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BDBDB"/>
          </w:tcPr>
          <w:p>
            <w:pPr>
              <w:jc w:val="right"/>
              <w:ind w:right="158"/>
              <w:spacing w:after="0"/>
              <w:rPr>
                <w:sz w:val="20"/>
                <w:szCs w:val="20"/>
                <w:color w:val="auto"/>
              </w:rPr>
            </w:pPr>
            <w:r>
              <w:rPr>
                <w:rFonts w:ascii="Arial" w:cs="Arial" w:eastAsia="Arial" w:hAnsi="Arial"/>
                <w:sz w:val="18"/>
                <w:szCs w:val="18"/>
                <w:b w:val="1"/>
                <w:bCs w:val="1"/>
                <w:color w:val="auto"/>
              </w:rPr>
              <w:t>97</w:t>
            </w:r>
          </w:p>
        </w:tc>
        <w:tc>
          <w:tcPr>
            <w:tcW w:w="10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BDBDB"/>
          </w:tcPr>
          <w:p>
            <w:pPr>
              <w:jc w:val="right"/>
              <w:ind w:right="154"/>
              <w:spacing w:after="0"/>
              <w:rPr>
                <w:sz w:val="20"/>
                <w:szCs w:val="20"/>
                <w:color w:val="auto"/>
              </w:rPr>
            </w:pPr>
            <w:r>
              <w:rPr>
                <w:rFonts w:ascii="Arial" w:cs="Arial" w:eastAsia="Arial" w:hAnsi="Arial"/>
                <w:sz w:val="18"/>
                <w:szCs w:val="18"/>
                <w:color w:val="auto"/>
              </w:rPr>
              <w:t>188</w:t>
            </w:r>
          </w:p>
        </w:tc>
      </w:tr>
      <w:tr>
        <w:trPr>
          <w:trHeight w:val="20"/>
        </w:trPr>
        <w:tc>
          <w:tcPr>
            <w:tcW w:w="844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0"/>
        </w:trPr>
        <w:tc>
          <w:tcPr>
            <w:tcW w:w="8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differs from the 21% U.S. statutory corporate tax rate due to the effect of U.S. tax benefits.</w:t>
      </w:r>
    </w:p>
    <w:p>
      <w:pPr>
        <w:spacing w:after="0" w:line="225"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Money market funds, debt investments and mutual funds are stated at fair value, which is generally based on market prices or broker quotes. We classify all debt investments as available-for-sale.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Unrealized gains and losses are recorded as an increase or decrease, net of taxes, in AOCI on our Consolidated Balance Sheets, and any credit losses are recorded as an allowance for credit losses with an offset recognized in OI&amp;E in our Consolidated Statements of Income.</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other investments include equity-method investments and nonmarketable investments, which are not measured at fair value. These investments consist of interests in venture capital funds and other nonmarketable securities. Gains and losses from equity-method investments are recognized in OI&amp;E based on our ownership share of the investee’s financial results. Nonmarketable securities are measured at cost with adjustments for observable changes in price or impairments. Gains and losses on nonmarketable investments are recognized in OI&amp;E.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rPr>
                <w:sz w:val="12"/>
                <w:szCs w:val="12"/>
                <w:color w:val="auto"/>
              </w:rPr>
            </w:pPr>
          </w:p>
        </w:tc>
        <w:tc>
          <w:tcPr>
            <w:tcW w:w="128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rPr>
              <w:t>Cash and Cash</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Long-Term</w:t>
            </w:r>
          </w:p>
        </w:tc>
        <w:tc>
          <w:tcPr>
            <w:tcW w:w="118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Cash and 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Short-Term</w:t>
            </w:r>
          </w:p>
        </w:tc>
        <w:tc>
          <w:tcPr>
            <w:tcW w:w="140" w:type="dxa"/>
            <w:vAlign w:val="bottom"/>
          </w:tcPr>
          <w:p>
            <w:pPr>
              <w:spacing w:after="0"/>
              <w:rPr>
                <w:sz w:val="12"/>
                <w:szCs w:val="12"/>
                <w:color w:val="auto"/>
              </w:rPr>
            </w:pPr>
          </w:p>
        </w:tc>
        <w:tc>
          <w:tcPr>
            <w:tcW w:w="1040" w:type="dxa"/>
            <w:vAlign w:val="bottom"/>
          </w:tcPr>
          <w:p>
            <w:pPr>
              <w:jc w:val="right"/>
              <w:ind w:right="133"/>
              <w:spacing w:after="0" w:line="147"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6"/>
                <w:szCs w:val="16"/>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633</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494</w:t>
            </w: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6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Non-U.S. government and agency</w:t>
            </w: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5"/>
                <w:szCs w:val="15"/>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140" w:type="dxa"/>
            <w:vAlign w:val="bottom"/>
            <w:gridSpan w:val="2"/>
            <w:vMerge w:val="continue"/>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6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2,384</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2,242</w:t>
            </w:r>
          </w:p>
        </w:tc>
        <w:tc>
          <w:tcPr>
            <w:tcW w:w="12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Nonmarketable investments</w:t>
            </w: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366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2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2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0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04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Cash on hand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6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2,763</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2,242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66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As of March 31, 2025, and December 31, 2024, unrealized gains and losses associated with our debt investments were not material. We did not recognize any credit losses related to debt investments for the first three months of 2025 and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debt investments as of March 31,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76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97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One year or less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3,520</w:t>
            </w:r>
          </w:p>
        </w:tc>
      </w:tr>
      <w:tr>
        <w:trPr>
          <w:trHeight w:val="239"/>
        </w:trPr>
        <w:tc>
          <w:tcPr>
            <w:tcW w:w="9760" w:type="dxa"/>
            <w:vAlign w:val="bottom"/>
          </w:tcPr>
          <w:p>
            <w:pPr>
              <w:ind w:left="20"/>
              <w:spacing w:after="0"/>
              <w:rPr>
                <w:sz w:val="20"/>
                <w:szCs w:val="20"/>
                <w:color w:val="auto"/>
              </w:rPr>
            </w:pPr>
            <w:r>
              <w:rPr>
                <w:rFonts w:ascii="Arial" w:cs="Arial" w:eastAsia="Arial" w:hAnsi="Arial"/>
                <w:sz w:val="18"/>
                <w:szCs w:val="18"/>
                <w:color w:val="auto"/>
              </w:rPr>
              <w:t>One to two years</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549</w:t>
            </w:r>
          </w:p>
        </w:tc>
      </w:tr>
    </w:tbl>
    <w:p>
      <w:pPr>
        <w:spacing w:after="0" w:line="26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Proceeds from sales, redemptions and maturities of short-term debt investments were $2.81 billion and $2.63 billion for the first quarters of 2025 and 2024, respectively. Gross realized gains and losses from these sales were not material.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in an orderly transaction between market participants on the measurement date.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inputs used to estimate fair-value measurements.</w:t>
      </w:r>
    </w:p>
    <w:p>
      <w:pPr>
        <w:spacing w:after="0" w:line="225" w:lineRule="exact"/>
        <w:rPr>
          <w:sz w:val="20"/>
          <w:szCs w:val="20"/>
          <w:color w:val="auto"/>
        </w:rPr>
      </w:pPr>
    </w:p>
    <w:p>
      <w:pPr>
        <w:ind w:left="620" w:right="180" w:hanging="329"/>
        <w:spacing w:after="0" w:line="287" w:lineRule="auto"/>
        <w:tabs>
          <w:tab w:leader="none" w:pos="61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44" w:lineRule="exact"/>
        <w:rPr>
          <w:rFonts w:ascii="Arial" w:cs="Arial" w:eastAsia="Arial" w:hAnsi="Arial"/>
          <w:sz w:val="18"/>
          <w:szCs w:val="18"/>
          <w:color w:val="auto"/>
        </w:rPr>
      </w:pPr>
    </w:p>
    <w:p>
      <w:pPr>
        <w:ind w:left="620" w:right="140" w:hanging="329"/>
        <w:spacing w:after="0" w:line="262" w:lineRule="auto"/>
        <w:tabs>
          <w:tab w:leader="none" w:pos="61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Uses inputs other than Level 1 that are either directly or indirectly observable as of the measurement date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correlation with market data. Inputs include quoted prices for similar assets and liabilities in active markets, quoted prices in markets that are not active and models or other pricing methodologies that do not require significant judgment. We utilize a third-party data service to provide Level 2 valuations, and we verify these valuations for reasonableness.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right="260" w:hanging="329"/>
        <w:spacing w:after="0" w:line="287" w:lineRule="auto"/>
        <w:tabs>
          <w:tab w:leader="none" w:pos="61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As of March 31, 2025, and December 31, 2024, we had no Level 3 assets or liabilities.</w:t>
      </w:r>
    </w:p>
    <w:p>
      <w:pPr>
        <w:spacing w:after="0" w:line="153"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March 31, 2025</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rPr>
              <w:t>December 31, 2024</w:t>
            </w:r>
          </w:p>
        </w:tc>
        <w:tc>
          <w:tcPr>
            <w:tcW w:w="780" w:type="dxa"/>
            <w:vAlign w:val="bottom"/>
            <w:tcBorders>
              <w:bottom w:val="single" w:sz="8" w:color="auto"/>
            </w:tcBorders>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224"/>
        </w:trPr>
        <w:tc>
          <w:tcPr>
            <w:tcW w:w="47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spacing w:after="0"/>
              <w:rPr>
                <w:sz w:val="19"/>
                <w:szCs w:val="19"/>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557</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29"/>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Corporate obligations</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1,127</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1,127</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1,490</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2,744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4,237</w:t>
            </w:r>
          </w:p>
        </w:tc>
      </w:tr>
      <w:tr>
        <w:trPr>
          <w:trHeight w:val="230"/>
        </w:trPr>
        <w:tc>
          <w:tcPr>
            <w:tcW w:w="47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Non-U.S. government and agency securities</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348</w:t>
            </w: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2,264</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2,372</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4,636</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3,364</w:t>
            </w:r>
          </w:p>
        </w:tc>
        <w:tc>
          <w:tcPr>
            <w:tcW w:w="4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3,484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6,848</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r>
        <w:trPr>
          <w:trHeight w:val="163"/>
        </w:trPr>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47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r>
      <w:tr>
        <w:trPr>
          <w:trHeight w:val="229"/>
        </w:trPr>
        <w:tc>
          <w:tcPr>
            <w:tcW w:w="476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402</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443</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48"/>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402</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443</w:t>
            </w:r>
          </w:p>
        </w:tc>
        <w:tc>
          <w:tcPr>
            <w:tcW w:w="4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443</w:t>
            </w: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00" w:type="dxa"/>
            <w:vAlign w:val="bottom"/>
          </w:tcPr>
          <w:p>
            <w:pPr>
              <w:spacing w:after="0"/>
              <w:rPr>
                <w:sz w:val="17"/>
                <w:szCs w:val="17"/>
                <w:color w:val="auto"/>
              </w:rPr>
            </w:pPr>
          </w:p>
        </w:tc>
        <w:tc>
          <w:tcPr>
            <w:tcW w:w="198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U.S. Defined Benefit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5"/>
          </w:tcPr>
          <w:p>
            <w:pPr>
              <w:ind w:left="100"/>
              <w:spacing w:after="0"/>
              <w:rPr>
                <w:sz w:val="20"/>
                <w:szCs w:val="20"/>
                <w:color w:val="auto"/>
              </w:rPr>
            </w:pPr>
            <w:r>
              <w:rPr>
                <w:rFonts w:ascii="Arial" w:cs="Arial" w:eastAsia="Arial" w:hAnsi="Arial"/>
                <w:sz w:val="14"/>
                <w:szCs w:val="14"/>
                <w:b w:val="1"/>
                <w:bCs w:val="1"/>
                <w:color w:val="auto"/>
              </w:rPr>
              <w:t>U.S. Retiree Health Care</w:t>
            </w:r>
          </w:p>
        </w:tc>
        <w:tc>
          <w:tcPr>
            <w:tcW w:w="220" w:type="dxa"/>
            <w:vAlign w:val="bottom"/>
          </w:tcPr>
          <w:p>
            <w:pPr>
              <w:spacing w:after="0"/>
              <w:rPr>
                <w:sz w:val="17"/>
                <w:szCs w:val="17"/>
                <w:color w:val="auto"/>
              </w:rPr>
            </w:pPr>
          </w:p>
        </w:tc>
        <w:tc>
          <w:tcPr>
            <w:tcW w:w="210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rPr>
              <w:t>Non-U.S. Defined Benefit</w:t>
            </w:r>
          </w:p>
        </w:tc>
      </w:tr>
      <w:tr>
        <w:trPr>
          <w:trHeight w:val="197"/>
        </w:trPr>
        <w:tc>
          <w:tcPr>
            <w:tcW w:w="41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For Three Months Ended March 31,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DBDBDB"/>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2024</w:t>
            </w:r>
          </w:p>
        </w:tc>
      </w:tr>
      <w:tr>
        <w:trPr>
          <w:trHeight w:val="224"/>
        </w:trPr>
        <w:tc>
          <w:tcPr>
            <w:tcW w:w="4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Service cost</w:t>
            </w:r>
          </w:p>
        </w:tc>
        <w:tc>
          <w:tcPr>
            <w:tcW w:w="780" w:type="dxa"/>
            <w:vAlign w:val="bottom"/>
            <w:shd w:val="clear" w:color="auto" w:fill="DBDBDB"/>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2</w:t>
            </w:r>
          </w:p>
        </w:tc>
        <w:tc>
          <w:tcPr>
            <w:tcW w:w="100" w:type="dxa"/>
            <w:vAlign w:val="bottom"/>
            <w:shd w:val="clear" w:color="auto" w:fill="DBDBDB"/>
          </w:tcPr>
          <w:p>
            <w:pPr>
              <w:spacing w:after="0"/>
              <w:rPr>
                <w:sz w:val="19"/>
                <w:szCs w:val="19"/>
                <w:color w:val="auto"/>
              </w:rPr>
            </w:pPr>
          </w:p>
        </w:tc>
        <w:tc>
          <w:tcPr>
            <w:tcW w:w="780" w:type="dxa"/>
            <w:vAlign w:val="bottom"/>
            <w:shd w:val="clear" w:color="auto" w:fill="DBDBDB"/>
          </w:tcPr>
          <w:p>
            <w:pPr>
              <w:jc w:val="right"/>
              <w:ind w:right="57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DBDBDB"/>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8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b w:val="1"/>
                <w:bCs w:val="1"/>
                <w:color w:val="auto"/>
                <w:w w:val="99"/>
              </w:rPr>
              <w:t>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jc w:val="center"/>
              <w:ind w:left="10"/>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Expected return on plan assets</w:t>
            </w:r>
          </w:p>
        </w:tc>
        <w:tc>
          <w:tcPr>
            <w:tcW w:w="780" w:type="dxa"/>
            <w:vAlign w:val="bottom"/>
            <w:shd w:val="clear" w:color="auto" w:fill="DBDBDB"/>
          </w:tcPr>
          <w:p>
            <w:pPr>
              <w:spacing w:after="0"/>
              <w:rPr>
                <w:sz w:val="19"/>
                <w:szCs w:val="19"/>
                <w:color w:val="auto"/>
              </w:rPr>
            </w:pPr>
          </w:p>
        </w:tc>
        <w:tc>
          <w:tcPr>
            <w:tcW w:w="32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(4)</w:t>
            </w:r>
          </w:p>
        </w:tc>
        <w:tc>
          <w:tcPr>
            <w:tcW w:w="10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3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Recognized net actuarial losses (gains)</w:t>
            </w:r>
          </w:p>
        </w:tc>
        <w:tc>
          <w:tcPr>
            <w:tcW w:w="78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jc w:val="center"/>
              <w:ind w:left="1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41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periodic benefit costs (credits)</w:t>
            </w:r>
          </w:p>
        </w:tc>
        <w:tc>
          <w:tcPr>
            <w:tcW w:w="780" w:type="dxa"/>
            <w:vAlign w:val="bottom"/>
            <w:tcBorders>
              <w:top w:val="single" w:sz="8" w:color="auto"/>
              <w:bottom w:val="single" w:sz="8" w:color="auto"/>
            </w:tcBorders>
            <w:shd w:val="clear" w:color="auto" w:fill="DBDBDB"/>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6</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780" w:type="dxa"/>
            <w:vAlign w:val="bottom"/>
            <w:tcBorders>
              <w:top w:val="single" w:sz="8" w:color="auto"/>
              <w:bottom w:val="single" w:sz="8" w:color="auto"/>
            </w:tcBorders>
            <w:shd w:val="clear" w:color="auto" w:fill="DBDBDB"/>
          </w:tcPr>
          <w:p>
            <w:pPr>
              <w:jc w:val="right"/>
              <w:ind w:right="57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DBDBDB"/>
          </w:tcPr>
          <w:p>
            <w:pPr>
              <w:jc w:val="center"/>
              <w:ind w:left="10"/>
              <w:spacing w:after="0"/>
              <w:rPr>
                <w:sz w:val="20"/>
                <w:szCs w:val="20"/>
                <w:color w:val="auto"/>
              </w:rPr>
            </w:pPr>
            <w:r>
              <w:rPr>
                <w:rFonts w:ascii="Arial" w:cs="Arial" w:eastAsia="Arial" w:hAnsi="Arial"/>
                <w:sz w:val="18"/>
                <w:szCs w:val="18"/>
                <w:color w:val="auto"/>
                <w:w w:val="99"/>
              </w:rPr>
              <w:t>3</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10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Debt and lines of credit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a line of credit to provide additional liquidity through bank loans and, if necessary, to support commercial paper borrowings. As of March 31, 2025, the aforementioned line of credit was a variable-rate, revolving credit facility from a consortium of investment-grade banks that allows us to borrow up to $1 billion until March 2026. The interest rate on borrowings under this credit facility, if drawn, is indexed to the applicable Term Secured Overnight Financing Rate (Term SOFR). As of March 31, 2025, our credit facility was undrawn, and we had no commercial paper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 March 2025, we retired $750 million of maturing debt.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7"/>
                <w:szCs w:val="17"/>
                <w:color w:val="auto"/>
              </w:rPr>
            </w:pPr>
          </w:p>
        </w:tc>
        <w:tc>
          <w:tcPr>
            <w:tcW w:w="122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32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r>
      <w:tr>
        <w:trPr>
          <w:trHeight w:val="224"/>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2025 at 1.375%</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2026 at 1.125%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2027 at 4.60%</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2027 at 2.90%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2028 at 4.60%</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2029 at 4.60%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2029 at 2.25%</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2030 at 1.75%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2031 at 1.90%</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2032 at 3.65%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2033 at 4.90%</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2034 at 4.85%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2039 at 3.875%</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2048 at 4.15%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2051 at 2.70%</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Notes due 2052 at 4.10%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2053 at 5.00%</w:t>
            </w:r>
          </w:p>
        </w:tc>
        <w:tc>
          <w:tcPr>
            <w:tcW w:w="2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Notes due 2054 at 5.15%</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 due 2063 at 5.05%</w:t>
            </w:r>
          </w:p>
        </w:tc>
        <w:tc>
          <w:tcPr>
            <w:tcW w:w="24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1,550</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1,550</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12,950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13,700</w:t>
            </w:r>
          </w:p>
        </w:tc>
      </w:tr>
      <w:tr>
        <w:trPr>
          <w:trHeight w:val="230"/>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unamortized discounts, premiums and issuance costs</w:t>
            </w:r>
          </w:p>
        </w:tc>
        <w:tc>
          <w:tcPr>
            <w:tcW w:w="24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(102)</w:t>
            </w:r>
          </w:p>
        </w:tc>
        <w:tc>
          <w:tcPr>
            <w:tcW w:w="1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Total debt, including net unamortized discounts, premiums and issuance costs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12,848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13,596</w:t>
            </w:r>
          </w:p>
        </w:tc>
      </w:tr>
      <w:tr>
        <w:trPr>
          <w:trHeight w:val="229"/>
        </w:trPr>
        <w:tc>
          <w:tcPr>
            <w:tcW w:w="8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12,848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12,846</w:t>
            </w: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Interest and debt expense was $128 million and $ 116 million for the first quarters of 2025 and 2024, respectively. This was net of the amortized discounts, premiums and issuance and other related costs. Capitalized interest was $4 million and $6 million for the first quarters of 2025 and 2024,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4"/>
                <w:szCs w:val="14"/>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2024</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3,935</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52,262</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(40,895)</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2025</w:t>
            </w:r>
          </w:p>
        </w:tc>
        <w:tc>
          <w:tcPr>
            <w:tcW w:w="3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Dividends declared and paid ($1.36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(1,238)</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(657)</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b w:val="1"/>
                <w:bCs w:val="1"/>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Other</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March 31, 2025</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52,196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(41,442)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5240" w:type="dxa"/>
            <w:vAlign w:val="bottom"/>
          </w:tcPr>
          <w:p>
            <w:pPr>
              <w:spacing w:after="0"/>
              <w:rPr>
                <w:sz w:val="24"/>
                <w:szCs w:val="2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24"/>
                <w:szCs w:val="24"/>
                <w:color w:val="auto"/>
              </w:rPr>
            </w:pPr>
          </w:p>
        </w:tc>
        <w:tc>
          <w:tcPr>
            <w:tcW w:w="8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December 31, 2023</w:t>
            </w:r>
          </w:p>
        </w:tc>
        <w:tc>
          <w:tcPr>
            <w:tcW w:w="3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bottom w:val="single" w:sz="8" w:color="auto"/>
            </w:tcBorders>
            <w:shd w:val="clear" w:color="auto" w:fill="DBDBDB"/>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52,283</w:t>
            </w:r>
          </w:p>
        </w:tc>
        <w:tc>
          <w:tcPr>
            <w:tcW w:w="1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(40,284)</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6"/>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Dividends declared and paid ($1.30 per share)</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Common stock issued for stock-based awards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Stock repurchases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Dividend equivalents on RSUs</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Balance, March 31, 2024</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3"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3"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Our stated warranties for semiconductor products obligate us to repair, replace or credit the purchase price of a covered product back to the buyer. Product claim consideration may exceed the price of our products. Historically, we have experienced a low rate of payments on product claims. Although we cannot predict the likelihood or amount of any future claims, we do not believe they will have a material adverse effect on our consolidated financial statements. We accrue for known product-related claims if a loss is probable and can be reasonably estimated. During the periods presented, there have been no material accruals or payments regarding product warranty or product liability.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consolidated financial statements.</w:t>
      </w:r>
    </w:p>
    <w:p>
      <w:pPr>
        <w:spacing w:after="0" w:line="153"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7"/>
                <w:szCs w:val="17"/>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824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8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CHIPS Act incentives</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1,195</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1,534</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0"/>
        </w:trPr>
        <w:tc>
          <w:tcPr>
            <w:tcW w:w="824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i w:val="1"/>
                <w:iCs w:val="1"/>
                <w:color w:val="auto"/>
              </w:rPr>
              <w:t>Other long-term assets</w:t>
            </w: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8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9"/>
                <w:szCs w:val="19"/>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824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8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CHIPS Act incentives</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1,869</w:t>
            </w: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1,096</w:t>
            </w:r>
          </w:p>
        </w:tc>
        <w:tc>
          <w:tcPr>
            <w:tcW w:w="12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2,965</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0"/>
        </w:trPr>
        <w:tc>
          <w:tcPr>
            <w:tcW w:w="824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during the first quarters of 2025 and 2024. The table below details where these transactions are recorded in our Consolidated Statements of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Three Months Ended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March 31,</w:t>
            </w:r>
          </w:p>
        </w:tc>
        <w:tc>
          <w:tcPr>
            <w:tcW w:w="2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Impact to Related Statement of Income</w:t>
            </w: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2025</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2"/>
          </w:tcPr>
          <w:p>
            <w:pPr>
              <w:jc w:val="right"/>
              <w:ind w:right="1230"/>
              <w:spacing w:after="0"/>
              <w:rPr>
                <w:sz w:val="20"/>
                <w:szCs w:val="20"/>
                <w:color w:val="auto"/>
              </w:rPr>
            </w:pPr>
            <w:r>
              <w:rPr>
                <w:rFonts w:ascii="Arial" w:cs="Arial" w:eastAsia="Arial" w:hAnsi="Arial"/>
                <w:sz w:val="14"/>
                <w:szCs w:val="14"/>
                <w:b w:val="1"/>
                <w:bCs w:val="1"/>
                <w:color w:val="auto"/>
              </w:rPr>
              <w:t>Lines</w:t>
            </w:r>
          </w:p>
        </w:tc>
        <w:tc>
          <w:tcPr>
            <w:tcW w:w="0" w:type="dxa"/>
            <w:vAlign w:val="bottom"/>
          </w:tcPr>
          <w:p>
            <w:pPr>
              <w:spacing w:after="0"/>
              <w:rPr>
                <w:sz w:val="1"/>
                <w:szCs w:val="1"/>
                <w:color w:val="auto"/>
              </w:rPr>
            </w:pPr>
          </w:p>
        </w:tc>
      </w:tr>
      <w:tr>
        <w:trPr>
          <w:trHeight w:val="223"/>
        </w:trPr>
        <w:tc>
          <w:tcPr>
            <w:tcW w:w="51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actuarial losses of defined benefit plans:</w:t>
            </w:r>
          </w:p>
        </w:tc>
        <w:tc>
          <w:tcPr>
            <w:tcW w:w="66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auto"/>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680" w:type="dxa"/>
            <w:vAlign w:val="bottom"/>
            <w:tcBorders>
              <w:top w:val="single" w:sz="8" w:color="auto"/>
            </w:tcBorders>
            <w:shd w:val="clear" w:color="auto" w:fill="DBDBDB"/>
          </w:tcPr>
          <w:p>
            <w:pPr>
              <w:spacing w:after="0"/>
              <w:rPr>
                <w:sz w:val="19"/>
                <w:szCs w:val="19"/>
                <w:color w:val="auto"/>
              </w:rPr>
            </w:pPr>
          </w:p>
        </w:tc>
        <w:tc>
          <w:tcPr>
            <w:tcW w:w="132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140"/>
              <w:spacing w:after="0"/>
              <w:rPr>
                <w:sz w:val="20"/>
                <w:szCs w:val="20"/>
                <w:color w:val="auto"/>
              </w:rPr>
            </w:pPr>
            <w:r>
              <w:rPr>
                <w:rFonts w:ascii="Arial" w:cs="Arial" w:eastAsia="Arial" w:hAnsi="Arial"/>
                <w:sz w:val="18"/>
                <w:szCs w:val="18"/>
                <w:color w:val="auto"/>
              </w:rPr>
              <w:t>Recognized net actuarial losses and settlement losses (a)</w:t>
            </w:r>
          </w:p>
        </w:tc>
        <w:tc>
          <w:tcPr>
            <w:tcW w:w="1440" w:type="dxa"/>
            <w:vAlign w:val="bottom"/>
            <w:gridSpan w:val="2"/>
          </w:tcPr>
          <w:p>
            <w:pPr>
              <w:jc w:val="right"/>
              <w:ind w:right="579"/>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19"/>
                <w:szCs w:val="19"/>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Decrease to OI&amp;E</w:t>
            </w:r>
          </w:p>
        </w:tc>
        <w:tc>
          <w:tcPr>
            <w:tcW w:w="0" w:type="dxa"/>
            <w:vAlign w:val="bottom"/>
          </w:tcPr>
          <w:p>
            <w:pPr>
              <w:spacing w:after="0"/>
              <w:rPr>
                <w:sz w:val="1"/>
                <w:szCs w:val="1"/>
                <w:color w:val="auto"/>
              </w:rPr>
            </w:pPr>
          </w:p>
        </w:tc>
      </w:tr>
      <w:tr>
        <w:trPr>
          <w:trHeight w:val="184"/>
        </w:trPr>
        <w:tc>
          <w:tcPr>
            <w:tcW w:w="5140" w:type="dxa"/>
            <w:vAlign w:val="bottom"/>
            <w:vMerge w:val="restart"/>
            <w:shd w:val="clear" w:color="auto" w:fill="DBDBDB"/>
          </w:tcPr>
          <w:p>
            <w:pPr>
              <w:ind w:left="140"/>
              <w:spacing w:after="0"/>
              <w:rPr>
                <w:sz w:val="20"/>
                <w:szCs w:val="20"/>
                <w:color w:val="auto"/>
              </w:rPr>
            </w:pPr>
            <w:r>
              <w:rPr>
                <w:rFonts w:ascii="Arial" w:cs="Arial" w:eastAsia="Arial" w:hAnsi="Arial"/>
                <w:sz w:val="18"/>
                <w:szCs w:val="18"/>
                <w:color w:val="auto"/>
              </w:rPr>
              <w:t>Tax effect</w:t>
            </w:r>
          </w:p>
        </w:tc>
        <w:tc>
          <w:tcPr>
            <w:tcW w:w="66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340" w:type="dxa"/>
            <w:vAlign w:val="bottom"/>
            <w:vMerge w:val="restart"/>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(1)</w:t>
            </w:r>
          </w:p>
        </w:tc>
        <w:tc>
          <w:tcPr>
            <w:tcW w:w="1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28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DBDBDB"/>
          </w:tcPr>
          <w:p>
            <w:pPr>
              <w:spacing w:after="0"/>
              <w:rPr>
                <w:sz w:val="15"/>
                <w:szCs w:val="15"/>
                <w:color w:val="auto"/>
              </w:rPr>
            </w:pPr>
          </w:p>
        </w:tc>
        <w:tc>
          <w:tcPr>
            <w:tcW w:w="3000" w:type="dxa"/>
            <w:vAlign w:val="bottom"/>
            <w:gridSpan w:val="2"/>
            <w:shd w:val="clear" w:color="auto" w:fill="DBDBDB"/>
          </w:tcPr>
          <w:p>
            <w:pPr>
              <w:ind w:left="20"/>
              <w:spacing w:after="0" w:line="183" w:lineRule="exact"/>
              <w:rPr>
                <w:sz w:val="20"/>
                <w:szCs w:val="20"/>
                <w:color w:val="auto"/>
              </w:rPr>
            </w:pPr>
            <w:r>
              <w:rPr>
                <w:rFonts w:ascii="Arial" w:cs="Arial" w:eastAsia="Arial" w:hAnsi="Arial"/>
                <w:sz w:val="18"/>
                <w:szCs w:val="18"/>
                <w:color w:val="auto"/>
              </w:rPr>
              <w:t>Decrease to provision for income</w:t>
            </w:r>
          </w:p>
        </w:tc>
        <w:tc>
          <w:tcPr>
            <w:tcW w:w="0" w:type="dxa"/>
            <w:vAlign w:val="bottom"/>
          </w:tcPr>
          <w:p>
            <w:pPr>
              <w:spacing w:after="0"/>
              <w:rPr>
                <w:sz w:val="1"/>
                <w:szCs w:val="1"/>
                <w:color w:val="auto"/>
              </w:rPr>
            </w:pPr>
          </w:p>
        </w:tc>
      </w:tr>
      <w:tr>
        <w:trPr>
          <w:trHeight w:val="235"/>
        </w:trPr>
        <w:tc>
          <w:tcPr>
            <w:tcW w:w="5140" w:type="dxa"/>
            <w:vAlign w:val="bottom"/>
            <w:vMerge w:val="continue"/>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780" w:type="dxa"/>
            <w:vAlign w:val="bottom"/>
            <w:tcBorders>
              <w:bottom w:val="single" w:sz="8" w:color="auto"/>
            </w:tcBorders>
            <w:shd w:val="clear" w:color="auto" w:fill="DBDBDB"/>
          </w:tcPr>
          <w:p>
            <w:pPr>
              <w:spacing w:after="0"/>
              <w:rPr>
                <w:sz w:val="20"/>
                <w:szCs w:val="20"/>
                <w:color w:val="auto"/>
              </w:rPr>
            </w:pPr>
          </w:p>
        </w:tc>
        <w:tc>
          <w:tcPr>
            <w:tcW w:w="34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840" w:type="dxa"/>
            <w:vAlign w:val="bottom"/>
            <w:tcBorders>
              <w:bottom w:val="single" w:sz="8" w:color="auto"/>
            </w:tcBorders>
            <w:shd w:val="clear" w:color="auto" w:fill="DBDBDB"/>
          </w:tcPr>
          <w:p>
            <w:pPr>
              <w:spacing w:after="0"/>
              <w:rPr>
                <w:sz w:val="20"/>
                <w:szCs w:val="20"/>
                <w:color w:val="auto"/>
              </w:rPr>
            </w:pPr>
          </w:p>
        </w:tc>
        <w:tc>
          <w:tcPr>
            <w:tcW w:w="28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0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23"/>
        </w:trPr>
        <w:tc>
          <w:tcPr>
            <w:tcW w:w="5140" w:type="dxa"/>
            <w:vAlign w:val="bottom"/>
          </w:tcPr>
          <w:p>
            <w:pPr>
              <w:ind w:left="140"/>
              <w:spacing w:after="0"/>
              <w:rPr>
                <w:sz w:val="20"/>
                <w:szCs w:val="20"/>
                <w:color w:val="auto"/>
              </w:rPr>
            </w:pPr>
            <w:r>
              <w:rPr>
                <w:rFonts w:ascii="Arial" w:cs="Arial" w:eastAsia="Arial" w:hAnsi="Arial"/>
                <w:sz w:val="18"/>
                <w:szCs w:val="18"/>
                <w:color w:val="auto"/>
              </w:rPr>
              <w:t>Recognized within net income, net of taxes</w:t>
            </w:r>
          </w:p>
        </w:tc>
        <w:tc>
          <w:tcPr>
            <w:tcW w:w="660" w:type="dxa"/>
            <w:vAlign w:val="bottom"/>
          </w:tcPr>
          <w:p>
            <w:pPr>
              <w:spacing w:after="0"/>
              <w:rPr>
                <w:sz w:val="19"/>
                <w:szCs w:val="19"/>
                <w:color w:val="auto"/>
              </w:rPr>
            </w:pPr>
          </w:p>
        </w:tc>
        <w:tc>
          <w:tcPr>
            <w:tcW w:w="78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Decrease to net income</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(a) Detailed in Note 5</w:t>
            </w:r>
          </w:p>
        </w:tc>
        <w:tc>
          <w:tcPr>
            <w:tcW w:w="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51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40" w:type="dxa"/>
            <w:vAlign w:val="bottom"/>
          </w:tcPr>
          <w:p>
            <w:pPr>
              <w:spacing w:after="0"/>
              <w:rPr>
                <w:sz w:val="20"/>
                <w:szCs w:val="20"/>
                <w:color w:val="auto"/>
              </w:rPr>
            </w:pPr>
            <w:r>
              <w:rPr>
                <w:rFonts w:ascii="Arial" w:cs="Arial" w:eastAsia="Arial" w:hAnsi="Arial"/>
                <w:sz w:val="18"/>
                <w:szCs w:val="18"/>
                <w:i w:val="1"/>
                <w:iCs w:val="1"/>
                <w:color w:val="auto"/>
              </w:rPr>
              <w:t>Effect on shares outstanding and treasury shares</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40" w:type="dxa"/>
            <w:vAlign w:val="bottom"/>
          </w:tcPr>
          <w:p>
            <w:pPr>
              <w:spacing w:after="0"/>
              <w:rPr>
                <w:sz w:val="20"/>
                <w:szCs w:val="20"/>
                <w:color w:val="auto"/>
              </w:rPr>
            </w:pPr>
            <w:r>
              <w:rPr>
                <w:rFonts w:ascii="Arial" w:cs="Arial" w:eastAsia="Arial" w:hAnsi="Arial"/>
                <w:sz w:val="18"/>
                <w:szCs w:val="18"/>
                <w:color w:val="auto"/>
              </w:rPr>
              <w:t>The following table reflects the changes in treasury shares:</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4"/>
        </w:trPr>
        <w:tc>
          <w:tcPr>
            <w:tcW w:w="51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 January 1</w:t>
            </w:r>
          </w:p>
        </w:tc>
        <w:tc>
          <w:tcPr>
            <w:tcW w:w="660" w:type="dxa"/>
            <w:vAlign w:val="bottom"/>
            <w:tcBorders>
              <w:top w:val="single" w:sz="8" w:color="DBDBDB"/>
            </w:tcBorders>
            <w:shd w:val="clear" w:color="auto" w:fill="DBDBDB"/>
          </w:tcPr>
          <w:p>
            <w:pPr>
              <w:spacing w:after="0"/>
              <w:rPr>
                <w:sz w:val="19"/>
                <w:szCs w:val="19"/>
                <w:color w:val="auto"/>
              </w:rPr>
            </w:pPr>
          </w:p>
        </w:tc>
        <w:tc>
          <w:tcPr>
            <w:tcW w:w="78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84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DBDBDB"/>
            </w:tcBorders>
            <w:shd w:val="clear" w:color="auto" w:fill="DBDBDB"/>
          </w:tcPr>
          <w:p>
            <w:pPr>
              <w:spacing w:after="0"/>
              <w:rPr>
                <w:sz w:val="19"/>
                <w:szCs w:val="19"/>
                <w:color w:val="auto"/>
              </w:rPr>
            </w:pPr>
          </w:p>
        </w:tc>
        <w:tc>
          <w:tcPr>
            <w:tcW w:w="1780" w:type="dxa"/>
            <w:vAlign w:val="bottom"/>
            <w:tcBorders>
              <w:top w:val="single" w:sz="8" w:color="DBDBDB"/>
            </w:tcBorders>
            <w:gridSpan w:val="2"/>
            <w:shd w:val="clear" w:color="auto" w:fill="DBDBDB"/>
          </w:tcPr>
          <w:p>
            <w:pPr>
              <w:spacing w:after="0"/>
              <w:rPr>
                <w:sz w:val="19"/>
                <w:szCs w:val="19"/>
                <w:color w:val="auto"/>
              </w:rPr>
            </w:pP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Repurchases</w:t>
            </w: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00" w:type="dxa"/>
            <w:vAlign w:val="bottom"/>
            <w:gridSpan w:val="3"/>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0"/>
        </w:trPr>
        <w:tc>
          <w:tcPr>
            <w:tcW w:w="51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Shares issued for stock compensation</w:t>
            </w:r>
          </w:p>
        </w:tc>
        <w:tc>
          <w:tcPr>
            <w:tcW w:w="66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3100" w:type="dxa"/>
            <w:vAlign w:val="bottom"/>
            <w:gridSpan w:val="3"/>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Balance, March 31</w:t>
            </w: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832</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4"/>
        </w:trPr>
        <w:tc>
          <w:tcPr>
            <w:tcW w:w="514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design and manufacture semiconductors that we sell to electronics designers and manufacturers all over the world. Technology is the foundation of our company, but ultimately, our objective and the best metric for owners to measure our progress is through the growth of free cash flow per share over the long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long-term free cash flow per share growth has three elements:</w:t>
      </w:r>
    </w:p>
    <w:p>
      <w:pPr>
        <w:spacing w:after="0" w:line="225" w:lineRule="exact"/>
        <w:rPr>
          <w:sz w:val="20"/>
          <w:szCs w:val="20"/>
          <w:color w:val="auto"/>
        </w:rPr>
      </w:pPr>
    </w:p>
    <w:p>
      <w:pPr>
        <w:ind w:left="660" w:right="140" w:hanging="328"/>
        <w:spacing w:after="0" w:line="287"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44" w:lineRule="exact"/>
        <w:rPr>
          <w:rFonts w:ascii="Arial" w:cs="Arial" w:eastAsia="Arial" w:hAnsi="Arial"/>
          <w:sz w:val="18"/>
          <w:szCs w:val="18"/>
          <w:color w:val="auto"/>
        </w:rPr>
      </w:pPr>
    </w:p>
    <w:p>
      <w:pPr>
        <w:ind w:left="1060" w:hanging="404"/>
        <w:spacing w:after="0"/>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980" w:right="260" w:hanging="324"/>
        <w:spacing w:after="0" w:line="287" w:lineRule="auto"/>
        <w:tabs>
          <w:tab w:leader="none" w:pos="106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44" w:lineRule="exact"/>
        <w:rPr>
          <w:rFonts w:ascii="Arial" w:cs="Arial" w:eastAsia="Arial" w:hAnsi="Arial"/>
          <w:sz w:val="18"/>
          <w:szCs w:val="18"/>
          <w:color w:val="auto"/>
        </w:rPr>
      </w:pPr>
    </w:p>
    <w:p>
      <w:pPr>
        <w:ind w:left="980" w:right="660" w:hanging="324"/>
        <w:spacing w:after="0" w:line="287" w:lineRule="auto"/>
        <w:tabs>
          <w:tab w:leader="none" w:pos="1063"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44" w:lineRule="exact"/>
        <w:rPr>
          <w:rFonts w:ascii="Arial" w:cs="Arial" w:eastAsia="Arial" w:hAnsi="Arial"/>
          <w:sz w:val="18"/>
          <w:szCs w:val="18"/>
          <w:color w:val="auto"/>
        </w:rPr>
      </w:pPr>
    </w:p>
    <w:p>
      <w:pPr>
        <w:ind w:left="980" w:right="220" w:hanging="324"/>
        <w:spacing w:after="0" w:line="287" w:lineRule="auto"/>
        <w:tabs>
          <w:tab w:leader="none" w:pos="107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45" w:lineRule="exact"/>
        <w:rPr>
          <w:sz w:val="20"/>
          <w:szCs w:val="20"/>
          <w:color w:val="auto"/>
        </w:rPr>
      </w:pPr>
    </w:p>
    <w:p>
      <w:pPr>
        <w:ind w:left="660" w:right="20"/>
        <w:spacing w:after="0" w:line="268" w:lineRule="auto"/>
        <w:rPr>
          <w:sz w:val="20"/>
          <w:szCs w:val="20"/>
          <w:color w:val="auto"/>
        </w:rPr>
      </w:pPr>
      <w:r>
        <w:rPr>
          <w:rFonts w:ascii="Arial" w:cs="Arial" w:eastAsia="Arial" w:hAnsi="Arial"/>
          <w:sz w:val="18"/>
          <w:szCs w:val="18"/>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63" w:lineRule="exact"/>
        <w:rPr>
          <w:sz w:val="20"/>
          <w:szCs w:val="20"/>
          <w:color w:val="auto"/>
        </w:rPr>
      </w:pPr>
    </w:p>
    <w:p>
      <w:pPr>
        <w:ind w:left="660" w:right="220" w:hanging="328"/>
        <w:spacing w:after="0" w:line="287"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invest in manufacturing capacity or how we think about acquisitions and returning cash to our owners.</w:t>
      </w:r>
    </w:p>
    <w:p>
      <w:pPr>
        <w:spacing w:after="0" w:line="44" w:lineRule="exact"/>
        <w:rPr>
          <w:rFonts w:ascii="Arial" w:cs="Arial" w:eastAsia="Arial" w:hAnsi="Arial"/>
          <w:sz w:val="18"/>
          <w:szCs w:val="18"/>
          <w:color w:val="auto"/>
        </w:rPr>
      </w:pPr>
    </w:p>
    <w:p>
      <w:pPr>
        <w:ind w:left="640" w:hanging="30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7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53" w:lineRule="exact"/>
        <w:rPr>
          <w:sz w:val="20"/>
          <w:szCs w:val="20"/>
          <w:color w:val="auto"/>
        </w:rPr>
      </w:pPr>
    </w:p>
    <w:p>
      <w:pPr>
        <w:ind w:left="620" w:hanging="329"/>
        <w:spacing w:after="0" w:line="268" w:lineRule="auto"/>
        <w:tabs>
          <w:tab w:leader="none" w:pos="6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240" w:hanging="320"/>
        <w:spacing w:after="0" w:line="287" w:lineRule="auto"/>
        <w:tabs>
          <w:tab w:leader="none" w:pos="1296" w:val="left"/>
        </w:tabs>
        <w:numPr>
          <w:ilvl w:val="1"/>
          <w:numId w:val="13"/>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44" w:lineRule="exact"/>
        <w:rPr>
          <w:rFonts w:ascii="Arial" w:cs="Arial" w:eastAsia="Arial" w:hAnsi="Arial"/>
          <w:sz w:val="18"/>
          <w:szCs w:val="18"/>
          <w:color w:val="auto"/>
        </w:rPr>
      </w:pPr>
    </w:p>
    <w:p>
      <w:pPr>
        <w:ind w:left="1300" w:right="480" w:hanging="320"/>
        <w:spacing w:after="0" w:line="287" w:lineRule="auto"/>
        <w:tabs>
          <w:tab w:leader="none" w:pos="1296" w:val="left"/>
        </w:tabs>
        <w:numPr>
          <w:ilvl w:val="1"/>
          <w:numId w:val="13"/>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44" w:lineRule="exact"/>
        <w:rPr>
          <w:rFonts w:ascii="Arial" w:cs="Arial" w:eastAsia="Arial" w:hAnsi="Arial"/>
          <w:sz w:val="18"/>
          <w:szCs w:val="18"/>
          <w:color w:val="auto"/>
        </w:rPr>
      </w:pPr>
    </w:p>
    <w:p>
      <w:pPr>
        <w:ind w:left="1300" w:right="740" w:hanging="320"/>
        <w:spacing w:after="0" w:line="287" w:lineRule="auto"/>
        <w:tabs>
          <w:tab w:leader="none" w:pos="1296" w:val="left"/>
        </w:tabs>
        <w:numPr>
          <w:ilvl w:val="1"/>
          <w:numId w:val="13"/>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 w:name="page16"/>
    <w:bookmarkEnd w:id="15"/>
    <w:p>
      <w:pPr>
        <w:ind w:left="1300" w:right="360" w:hanging="320"/>
        <w:spacing w:after="0" w:line="262" w:lineRule="auto"/>
        <w:tabs>
          <w:tab w:leader="none" w:pos="1296" w:val="left"/>
        </w:tabs>
        <w:numPr>
          <w:ilvl w:val="1"/>
          <w:numId w:val="14"/>
        </w:numPr>
        <w:rPr>
          <w:rFonts w:ascii="Arial" w:cs="Arial" w:eastAsia="Arial" w:hAnsi="Arial"/>
          <w:sz w:val="18"/>
          <w:szCs w:val="18"/>
          <w:color w:val="auto"/>
        </w:rPr>
      </w:pPr>
      <w:r>
        <w:rPr>
          <w:rFonts w:ascii="Arial" w:cs="Arial" w:eastAsia="Arial" w:hAnsi="Arial"/>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spacing w:after="0" w:line="68" w:lineRule="exact"/>
        <w:rPr>
          <w:rFonts w:ascii="Arial" w:cs="Arial" w:eastAsia="Arial" w:hAnsi="Arial"/>
          <w:sz w:val="18"/>
          <w:szCs w:val="18"/>
          <w:color w:val="auto"/>
        </w:rPr>
      </w:pPr>
    </w:p>
    <w:p>
      <w:pPr>
        <w:ind w:left="620" w:hanging="32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an explanation of free cash flow, see the Non-GAAP financial information section.</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are monitoring the geopolitical environment. Any implication to our customers, suppliers or TI’s business, including customer demand and our supply chain, is uncertain and will likely evolve. We currently do not see impact to second-quarter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first quarter revenue was $4.07 billion, net income was $1.18 billion and earnings per share (EPS) were $1.28.</w:t>
      </w:r>
    </w:p>
    <w:p>
      <w:pPr>
        <w:spacing w:after="0" w:line="22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Revenue increased 11% from the same quarter a year ago and increased 2% sequentially. All of our markets grew sequentially with the exception of a seasonal decline in personal electronics.</w:t>
      </w:r>
    </w:p>
    <w:p>
      <w:pPr>
        <w:spacing w:after="0" w:line="15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Our cash flow from operations of $6.2 billion for the trailing 12 months again underscored the strength of our business model, the quality of our product portfolio and the benefit of 300mm production. Free cash flow for the same period was $1.7 billion.</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Over the past 12 months we invested $3.8 billion in R&amp;D and SG&amp;A, invested $4.7 billion in capital expenditures and returned $6.4 billion to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quarter 2025 compared with first quarter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of $4.07 billion increased $408 million, or 11%, primarily due to higher revenue from Analog.</w:t>
      </w:r>
    </w:p>
    <w:p>
      <w:pPr>
        <w:spacing w:after="0" w:line="22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Gross profit of $ 2.31 billion was up $218 million, or 10%, primarily due to higher revenue, partially offset by higher manufacturing costs associated with our planned capacity expansions. As a percentage of revenue, gross profit decreased to 56.8% from 57.2%.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$989 million compared with $933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in the year-ago period was a credit of $124 million primarily due to a gain on the sale of a property during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$1.32 billion, or 32.5% of revenue, compared with $1.29 billion, or 35.1%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$80 million of income compared with $123 million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$128 million increased $12 million. See Note 6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provision for income taxes was $97 million compared with $188 million. This decrease was primarily due to discrete tax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$1.18 billion compared with $1.11 billion. EPS was $1.28 compared with $1.20.</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0"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First quarter 2025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2025</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2024</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3,210</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2,836</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b w:val="1"/>
                <w:bCs w:val="1"/>
                <w:color w:val="auto"/>
              </w:rPr>
              <w:t>1,206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37.6 %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35.5 %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9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Analog revenue increased in both product lines, led by Power. Operating profit increased primarily due to higher revenue and associated gross profit.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and processors)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2025</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2024</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647</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652</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6.2 %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16.1 %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bl>
    <w:p>
      <w:pPr>
        <w:spacing w:after="0" w:line="27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Embedded Processing revenue was about even due to the mix of products shipped. Operating profit decreased due to higher manufacturing costs and R&amp;D expenses.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0"/>
          <w:szCs w:val="10"/>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2025</w:t>
            </w:r>
          </w:p>
        </w:tc>
        <w:tc>
          <w:tcPr>
            <w:tcW w:w="26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2024</w:t>
            </w:r>
          </w:p>
        </w:tc>
        <w:tc>
          <w:tcPr>
            <w:tcW w:w="1340" w:type="dxa"/>
            <w:vAlign w:val="bottom"/>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212</w:t>
            </w: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DBDBDB"/>
            </w:tcBorders>
            <w:shd w:val="clear" w:color="auto" w:fill="DBDBDB"/>
          </w:tcPr>
          <w:p>
            <w:pPr>
              <w:spacing w:after="0"/>
              <w:rPr>
                <w:sz w:val="19"/>
                <w:szCs w:val="19"/>
                <w:color w:val="auto"/>
              </w:rPr>
            </w:pP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Operating profit *</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7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36.8 %</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r>
      <w:tr>
        <w:trPr>
          <w:trHeight w:val="239"/>
        </w:trPr>
        <w:tc>
          <w:tcPr>
            <w:tcW w:w="7020" w:type="dxa"/>
            <w:vAlign w:val="bottom"/>
          </w:tcPr>
          <w:p>
            <w:pPr>
              <w:ind w:left="20"/>
              <w:spacing w:after="0"/>
              <w:rPr>
                <w:sz w:val="20"/>
                <w:szCs w:val="20"/>
                <w:color w:val="auto"/>
              </w:rPr>
            </w:pPr>
            <w:r>
              <w:rPr>
                <w:rFonts w:ascii="Arial" w:cs="Arial" w:eastAsia="Arial" w:hAnsi="Arial"/>
                <w:sz w:val="18"/>
                <w:szCs w:val="18"/>
                <w:color w:val="auto"/>
              </w:rPr>
              <w:t>* Includes restructuring charges/other</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increased $39 million, and operating profit decreased $95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At the end of the first quarter of 2025, total cash (cash and cash equivalents plus short-term investments) was $5.01 billion, a decrease of $2.58 billion from the end of 2024.</w:t>
      </w:r>
    </w:p>
    <w:p>
      <w:pPr>
        <w:spacing w:after="0" w:line="15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Accounts receivable were $1.86 billion, an increase of $ 141 million compared with the end of 2024. Days sales outstanding for the first quarter of 2025 were 41 compared with 39 at the end of 2024.</w:t>
      </w:r>
    </w:p>
    <w:p>
      <w:pPr>
        <w:spacing w:after="0" w:line="153"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Inventory was $4.69 billion, an increase of $160 million from the end of 2024. Days of inventory for the first quarter of 2025 were 240 compared with 241 at the end of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access to debt markets. We also have a variable-rate, revolving credit facility. As of March 31, 2025, our credit facility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undrawn, and we had no commercial paper outstanding. Cash flows from operating activities for the first three months of 2025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$849 million, a decrease of $168 million from the year-ago period primarily due to higher cash used for working capital, partially offset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higher net income.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7" w:name="page18"/>
    <w:bookmarkEnd w:id="17"/>
    <w:p>
      <w:pPr>
        <w:ind w:right="220"/>
        <w:spacing w:after="0" w:line="259" w:lineRule="auto"/>
        <w:rPr>
          <w:sz w:val="20"/>
          <w:szCs w:val="20"/>
          <w:color w:val="auto"/>
        </w:rPr>
      </w:pPr>
      <w:r>
        <w:rPr>
          <w:rFonts w:ascii="Arial" w:cs="Arial" w:eastAsia="Arial" w:hAnsi="Arial"/>
          <w:sz w:val="18"/>
          <w:szCs w:val="18"/>
          <w:color w:val="auto"/>
        </w:rPr>
        <w:t>Investing activities for the first three months of 2025 provided $1.25 billion compared with $3.33 billion of cash used in the year-ago period. Capital expenditures were $1.12 billion compared with $1.25 billion in the year-ago period and were primarily for semiconductor manufacturing equipment and facilities in both periods. In 2025, we received proceeds of $260 million from U.S. CHIPS and Science Act (CHIPS Act) incentives. Short-term investments provided cash of $2.16 billion compared with $2.23 billion of cash used in the year-ago period.</w:t>
      </w:r>
    </w:p>
    <w:p>
      <w:pPr>
        <w:spacing w:after="0" w:line="17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we continue to invest to strengthen our competitive advantages in manufacturing and technology, as part of our long-term capacity planning, our capital expenditures are expected to remain at elevated levels. For qualifying manufacturing investments, we expect to benefit from the 25% investment tax credit (ITC) established by the CHIPS Act, as well as direct funding of up to $1.6 billion for our three large-scale 300mm wafer fabs currently under construction in Sherman, Texas, and Lehi, Utah.</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Financing activities for the first three months of 2025 used $2.54 billion compared with $1.83 billion of cash provided in the year-ago period. In 2025, we retired maturing debt of $750 million. In the year-ago period, we received net proceeds of $2.98 billion from the issuance of fixed-rate, long-term debt. Dividends paid were $1.24 billion compared with $1.18 billion in the year-ago period, reflecting an increased dividend rate. We used $653 million to repurchase 3.5 million shares of our common stock compared with $3 million in the year-ago period. Employee exercises of stock options provided cash proceeds of $118 million compared with $65 million in the year-ago period.</w:t>
      </w:r>
    </w:p>
    <w:p>
      <w:pPr>
        <w:spacing w:after="0" w:line="17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had $2.76 billion of cash and cash equivalents and $2.24 billion of short-term investments as of March 31, 2025. We believe we have the necessary financial resources and operating plans to fund our working capital needs, capital expenditures, dividend and debt-related payments, and other business requirements for at least the next 12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This MD&amp;A includes references to free cash flow and ratios based on that measure. These are financial measures that were not prepared in accordance with generally accepted accounting principles in the United States (GAAP). Free cash flow is calculated as cash flows from operating activities (also referred to as cash flow from operations) less capital expenditures, plus proceeds from CHIPS Act incentives.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For 12 Months Ended</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7"/>
        </w:trPr>
        <w:tc>
          <w:tcPr>
            <w:tcW w:w="70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DBDBDB"/>
            </w:tcBorders>
          </w:tcPr>
          <w:p>
            <w:pPr>
              <w:spacing w:after="0"/>
              <w:rPr>
                <w:sz w:val="17"/>
                <w:szCs w:val="17"/>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Change</w:t>
            </w:r>
          </w:p>
        </w:tc>
      </w:tr>
      <w:tr>
        <w:trPr>
          <w:trHeight w:val="224"/>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 *</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6,150</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ind w:right="132"/>
              <w:spacing w:after="0"/>
              <w:rPr>
                <w:sz w:val="20"/>
                <w:szCs w:val="20"/>
                <w:color w:val="auto"/>
              </w:rPr>
            </w:pPr>
            <w:r>
              <w:rPr>
                <w:rFonts w:ascii="Arial" w:cs="Arial" w:eastAsia="Arial" w:hAnsi="Arial"/>
                <w:sz w:val="18"/>
                <w:szCs w:val="18"/>
                <w:color w:val="auto"/>
              </w:rPr>
              <w:t>6,277</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8"/>
                <w:szCs w:val="18"/>
                <w:b w:val="1"/>
                <w:bCs w:val="1"/>
                <w:color w:val="auto"/>
              </w:rPr>
              <w:t>(4,695)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(5,337)</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CHIPS Act incentives</w:t>
            </w:r>
          </w:p>
        </w:tc>
        <w:tc>
          <w:tcPr>
            <w:tcW w:w="32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ind w:right="155"/>
              <w:spacing w:after="0"/>
              <w:rPr>
                <w:sz w:val="20"/>
                <w:szCs w:val="20"/>
                <w:color w:val="auto"/>
              </w:rPr>
            </w:pPr>
            <w:r>
              <w:rPr>
                <w:rFonts w:ascii="Arial" w:cs="Arial" w:eastAsia="Arial" w:hAnsi="Arial"/>
                <w:sz w:val="18"/>
                <w:szCs w:val="18"/>
                <w:b w:val="1"/>
                <w:bCs w:val="1"/>
                <w:color w:val="auto"/>
              </w:rPr>
              <w:t>260</w:t>
            </w:r>
          </w:p>
        </w:tc>
        <w:tc>
          <w:tcPr>
            <w:tcW w:w="10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Free cash flow (non-GAAP)</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1,715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940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82 %</w:t>
            </w:r>
          </w:p>
        </w:tc>
      </w:tr>
      <w:tr>
        <w:trPr>
          <w:trHeight w:val="20"/>
        </w:trPr>
        <w:tc>
          <w:tcPr>
            <w:tcW w:w="70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320" w:type="dxa"/>
            <w:vAlign w:val="bottom"/>
            <w:tcBorders>
              <w:bottom w:val="single" w:sz="8" w:color="DBDBDB"/>
            </w:tcBorders>
          </w:tcPr>
          <w:p>
            <w:pPr>
              <w:spacing w:after="0" w:line="20" w:lineRule="exact"/>
              <w:rPr>
                <w:sz w:val="1"/>
                <w:szCs w:val="1"/>
                <w:color w:val="auto"/>
              </w:rPr>
            </w:pPr>
          </w:p>
        </w:tc>
      </w:tr>
      <w:tr>
        <w:trPr>
          <w:trHeight w:val="183"/>
        </w:trPr>
        <w:tc>
          <w:tcPr>
            <w:tcW w:w="70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16,049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16,801</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70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320" w:type="dxa"/>
            <w:vAlign w:val="bottom"/>
            <w:tcBorders>
              <w:bottom w:val="single" w:sz="8" w:color="DBDBDB"/>
            </w:tcBorders>
          </w:tcPr>
          <w:p>
            <w:pPr>
              <w:spacing w:after="0" w:line="20" w:lineRule="exact"/>
              <w:rPr>
                <w:sz w:val="1"/>
                <w:szCs w:val="1"/>
                <w:color w:val="auto"/>
              </w:rPr>
            </w:pPr>
          </w:p>
        </w:tc>
      </w:tr>
      <w:tr>
        <w:trPr>
          <w:trHeight w:val="183"/>
        </w:trPr>
        <w:tc>
          <w:tcPr>
            <w:tcW w:w="70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38.3 %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10.7 %</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5.6 %</w:t>
            </w:r>
          </w:p>
        </w:tc>
        <w:tc>
          <w:tcPr>
            <w:tcW w:w="12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r>
    </w:tbl>
    <w:p>
      <w:pPr>
        <w:spacing w:after="0" w:line="184" w:lineRule="exact"/>
        <w:rPr>
          <w:sz w:val="20"/>
          <w:szCs w:val="20"/>
          <w:color w:val="auto"/>
        </w:rPr>
      </w:pPr>
    </w:p>
    <w:p>
      <w:pPr>
        <w:ind w:left="180" w:right="220" w:hanging="172"/>
        <w:spacing w:after="0" w:line="287" w:lineRule="auto"/>
        <w:tabs>
          <w:tab w:leader="none" w:pos="13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 cash benefit of $588 million from the CHIPS Act ITC used to reduce income taxes payable for the twelve months ended March 31, 2025</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90" w:right="5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legal proceedings can be found in Note 8 to the financial statements.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SEC regulation, we have elected to use a disclosure threshold of $1 million in monetary sanctions for environmental proceedings involving a governmental authority.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2024, and is incorporated by reference 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54"/>
        </w:trPr>
        <w:tc>
          <w:tcPr>
            <w:tcW w:w="4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0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gridSpan w:val="2"/>
            <w:vMerge w:val="restart"/>
          </w:tcPr>
          <w:p>
            <w:pPr>
              <w:jc w:val="center"/>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36"/>
        </w:trPr>
        <w:tc>
          <w:tcPr>
            <w:tcW w:w="4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100" w:type="dxa"/>
            <w:vAlign w:val="bottom"/>
          </w:tcPr>
          <w:p>
            <w:pPr>
              <w:spacing w:after="0"/>
              <w:rPr>
                <w:sz w:val="3"/>
                <w:szCs w:val="3"/>
                <w:color w:val="auto"/>
              </w:rPr>
            </w:pPr>
          </w:p>
        </w:tc>
        <w:tc>
          <w:tcPr>
            <w:tcW w:w="1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89"/>
        </w:trPr>
        <w:tc>
          <w:tcPr>
            <w:tcW w:w="4260" w:type="dxa"/>
            <w:vAlign w:val="bottom"/>
            <w:gridSpan w:val="2"/>
            <w:vMerge w:val="continue"/>
          </w:tcPr>
          <w:p>
            <w:pPr>
              <w:spacing w:after="0"/>
              <w:rPr>
                <w:sz w:val="16"/>
                <w:szCs w:val="16"/>
                <w:color w:val="auto"/>
              </w:rPr>
            </w:pPr>
          </w:p>
        </w:tc>
        <w:tc>
          <w:tcPr>
            <w:tcW w:w="1700" w:type="dxa"/>
            <w:vAlign w:val="bottom"/>
          </w:tcPr>
          <w:p>
            <w:pPr>
              <w:jc w:val="right"/>
              <w:ind w:right="396"/>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 per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Plans or Programs (a)</w:t>
            </w:r>
          </w:p>
        </w:tc>
        <w:tc>
          <w:tcPr>
            <w:tcW w:w="100" w:type="dxa"/>
            <w:vAlign w:val="bottom"/>
          </w:tcPr>
          <w:p>
            <w:pPr>
              <w:spacing w:after="0"/>
              <w:rPr>
                <w:sz w:val="16"/>
                <w:szCs w:val="16"/>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or Programs (a)</w:t>
            </w:r>
          </w:p>
        </w:tc>
        <w:tc>
          <w:tcPr>
            <w:tcW w:w="0" w:type="dxa"/>
            <w:vAlign w:val="bottom"/>
          </w:tcPr>
          <w:p>
            <w:pPr>
              <w:spacing w:after="0"/>
              <w:rPr>
                <w:sz w:val="1"/>
                <w:szCs w:val="1"/>
                <w:color w:val="auto"/>
              </w:rPr>
            </w:pPr>
          </w:p>
        </w:tc>
      </w:tr>
      <w:tr>
        <w:trPr>
          <w:trHeight w:val="223"/>
        </w:trPr>
        <w:tc>
          <w:tcPr>
            <w:tcW w:w="41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January 1 - 31, 2025</w:t>
            </w:r>
          </w:p>
        </w:tc>
        <w:tc>
          <w:tcPr>
            <w:tcW w:w="12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1,090,049</w:t>
            </w:r>
          </w:p>
        </w:tc>
        <w:tc>
          <w:tcPr>
            <w:tcW w:w="1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189.71</w:t>
            </w:r>
          </w:p>
        </w:tc>
        <w:tc>
          <w:tcPr>
            <w:tcW w:w="100" w:type="dxa"/>
            <w:vAlign w:val="bottom"/>
            <w:tcBorders>
              <w:top w:val="single" w:sz="8" w:color="DBDBDB"/>
            </w:tcBorders>
            <w:shd w:val="clear" w:color="auto" w:fill="DBDBDB"/>
          </w:tcPr>
          <w:p>
            <w:pPr>
              <w:spacing w:after="0"/>
              <w:rPr>
                <w:sz w:val="19"/>
                <w:szCs w:val="19"/>
                <w:color w:val="auto"/>
              </w:rPr>
            </w:pPr>
          </w:p>
        </w:tc>
        <w:tc>
          <w:tcPr>
            <w:tcW w:w="1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1,090,049</w:t>
            </w:r>
          </w:p>
        </w:tc>
        <w:tc>
          <w:tcPr>
            <w:tcW w:w="10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   20.05</w:t>
            </w:r>
          </w:p>
        </w:tc>
        <w:tc>
          <w:tcPr>
            <w:tcW w:w="1080" w:type="dxa"/>
            <w:vAlign w:val="bottom"/>
            <w:tcBorders>
              <w:top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30"/>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February 1 - 28, 2025</w:t>
            </w:r>
          </w:p>
        </w:tc>
        <w:tc>
          <w:tcPr>
            <w:tcW w:w="1700" w:type="dxa"/>
            <w:vAlign w:val="bottom"/>
          </w:tcPr>
          <w:p>
            <w:pPr>
              <w:jc w:val="right"/>
              <w:spacing w:after="0"/>
              <w:rPr>
                <w:sz w:val="20"/>
                <w:szCs w:val="20"/>
                <w:color w:val="auto"/>
              </w:rPr>
            </w:pPr>
            <w:r>
              <w:rPr>
                <w:rFonts w:ascii="Arial" w:cs="Arial" w:eastAsia="Arial" w:hAnsi="Arial"/>
                <w:sz w:val="18"/>
                <w:szCs w:val="18"/>
                <w:color w:val="auto"/>
              </w:rPr>
              <w:t>1,079,885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186.87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1,079,885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19.85</w:t>
            </w:r>
          </w:p>
        </w:tc>
        <w:tc>
          <w:tcPr>
            <w:tcW w:w="1080" w:type="dxa"/>
            <w:vAlign w:val="bottom"/>
          </w:tcPr>
          <w:p>
            <w:pPr>
              <w:ind w:left="40"/>
              <w:spacing w:after="0"/>
              <w:rPr>
                <w:sz w:val="20"/>
                <w:szCs w:val="20"/>
                <w:color w:val="auto"/>
              </w:rPr>
            </w:pPr>
            <w:r>
              <w:rPr>
                <w:rFonts w:ascii="Arial" w:cs="Arial" w:eastAsia="Arial" w:hAnsi="Arial"/>
                <w:sz w:val="18"/>
                <w:szCs w:val="18"/>
                <w:color w:val="auto"/>
              </w:rPr>
              <w:t>billion</w:t>
            </w: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March 1 - 31, 2025</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1,345,223</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182.61</w:t>
            </w:r>
          </w:p>
        </w:tc>
        <w:tc>
          <w:tcPr>
            <w:tcW w:w="100" w:type="dxa"/>
            <w:vAlign w:val="bottom"/>
            <w:shd w:val="clear" w:color="auto" w:fill="DBDBDB"/>
          </w:tcPr>
          <w:p>
            <w:pPr>
              <w:spacing w:after="0"/>
              <w:rPr>
                <w:sz w:val="19"/>
                <w:szCs w:val="19"/>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1,345,223</w:t>
            </w:r>
          </w:p>
        </w:tc>
        <w:tc>
          <w:tcPr>
            <w:tcW w:w="9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19.60</w:t>
            </w:r>
          </w:p>
        </w:tc>
        <w:tc>
          <w:tcPr>
            <w:tcW w:w="1080" w:type="dxa"/>
            <w:vAlign w:val="bottom"/>
            <w:shd w:val="clear" w:color="auto" w:fill="DBDBDB"/>
          </w:tcPr>
          <w:p>
            <w:pPr>
              <w:ind w:left="40"/>
              <w:spacing w:after="0"/>
              <w:rPr>
                <w:sz w:val="20"/>
                <w:szCs w:val="20"/>
                <w:color w:val="auto"/>
              </w:rPr>
            </w:pPr>
            <w:r>
              <w:rPr>
                <w:rFonts w:ascii="Arial" w:cs="Arial" w:eastAsia="Arial" w:hAnsi="Arial"/>
                <w:sz w:val="18"/>
                <w:szCs w:val="18"/>
                <w:color w:val="auto"/>
              </w:rPr>
              <w:t>billion (b)</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3,515,157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3,515,157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right="40" w:hanging="332"/>
        <w:spacing w:after="0" w:line="318" w:lineRule="auto"/>
        <w:tabs>
          <w:tab w:leader="none" w:pos="33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open-market purchases during the quarter were made under the authorizations from our board of directors to purchase up to $12.0 billion and $15.0 billion of additional shares of TI common stock announced September 20, 2018, and September 15, 2022, respectively.</w:t>
      </w:r>
    </w:p>
    <w:p>
      <w:pPr>
        <w:spacing w:after="0" w:line="156" w:lineRule="exact"/>
        <w:rPr>
          <w:rFonts w:ascii="Arial" w:cs="Arial" w:eastAsia="Arial" w:hAnsi="Arial"/>
          <w:sz w:val="17"/>
          <w:szCs w:val="17"/>
          <w:color w:val="auto"/>
        </w:rPr>
      </w:pPr>
    </w:p>
    <w:p>
      <w:pPr>
        <w:ind w:left="340" w:right="280" w:hanging="332"/>
        <w:spacing w:after="0" w:line="287" w:lineRule="auto"/>
        <w:tabs>
          <w:tab w:leader="none" w:pos="3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March 31, 2025, this amount consisted of the remaining portion of the $12.0 billion authorized in September 2018 and the $15.0 billion authorized in September 2022. No expiration date has been specified for these authorizations.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0" w:name="page21"/>
    <w:bookmarkEnd w:id="20"/>
    <w:p>
      <w:pPr>
        <w:spacing w:after="0" w:line="199" w:lineRule="auto"/>
        <w:framePr w:w="1460" w:h="163" w:wrap="auto" w:vAnchor="page" w:hAnchor="page" w:x="280" w:y="909"/>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175"/>
        </w:trPr>
        <w:tc>
          <w:tcPr>
            <w:tcW w:w="1920" w:type="dxa"/>
            <w:vAlign w:val="bottom"/>
          </w:tcPr>
          <w:p>
            <w:pPr>
              <w:jc w:val="center"/>
              <w:ind w:right="13"/>
              <w:spacing w:after="0"/>
              <w:rPr>
                <w:sz w:val="20"/>
                <w:szCs w:val="20"/>
                <w:color w:val="auto"/>
              </w:rPr>
            </w:pPr>
            <w:r>
              <w:rPr>
                <w:rFonts w:ascii="Arial" w:cs="Arial" w:eastAsia="Arial" w:hAnsi="Arial"/>
                <w:sz w:val="14"/>
                <w:szCs w:val="14"/>
                <w:b w:val="1"/>
                <w:bCs w:val="1"/>
                <w:color w:val="auto"/>
              </w:rPr>
              <w:t>Designation of Exhibits in</w:t>
            </w:r>
          </w:p>
        </w:tc>
        <w:tc>
          <w:tcPr>
            <w:tcW w:w="18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This Report</w:t>
            </w:r>
          </w:p>
        </w:tc>
        <w:tc>
          <w:tcPr>
            <w:tcW w:w="9320" w:type="dxa"/>
            <w:vAlign w:val="bottom"/>
            <w:gridSpan w:val="16"/>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10"/>
        </w:trPr>
        <w:tc>
          <w:tcPr>
            <w:tcW w:w="19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3(a)</w:t>
            </w:r>
          </w:p>
        </w:tc>
        <w:tc>
          <w:tcPr>
            <w:tcW w:w="9320" w:type="dxa"/>
            <w:vAlign w:val="bottom"/>
            <w:gridSpan w:val="16"/>
            <w:shd w:val="clear" w:color="auto" w:fill="DBDBDB"/>
          </w:tcPr>
          <w:p>
            <w:pPr>
              <w:spacing w:after="0"/>
              <w:rPr>
                <w:rFonts w:ascii="Arial" w:cs="Arial" w:eastAsia="Arial" w:hAnsi="Arial"/>
                <w:sz w:val="18"/>
                <w:szCs w:val="18"/>
                <w:color w:val="0000FF"/>
              </w:rPr>
            </w:pPr>
            <w:hyperlink r:id="rId38">
              <w:r>
                <w:rPr>
                  <w:rFonts w:ascii="Arial" w:cs="Arial" w:eastAsia="Arial" w:hAnsi="Arial"/>
                  <w:sz w:val="18"/>
                  <w:szCs w:val="18"/>
                  <w:color w:val="0000FF"/>
                </w:rPr>
                <w:t>Restated Certificate of Incorporation of the Registrant, dated April 18, 1985, as amended (incorporated by reference</w:t>
              </w:r>
            </w:hyperlink>
          </w:p>
        </w:tc>
        <w:tc>
          <w:tcPr>
            <w:tcW w:w="0" w:type="dxa"/>
            <w:vAlign w:val="bottom"/>
          </w:tcPr>
          <w:p>
            <w:pPr>
              <w:spacing w:after="0"/>
              <w:rPr>
                <w:sz w:val="1"/>
                <w:szCs w:val="1"/>
                <w:color w:val="auto"/>
              </w:rPr>
            </w:pPr>
          </w:p>
        </w:tc>
      </w:tr>
      <w:tr>
        <w:trPr>
          <w:trHeight w:val="133"/>
        </w:trPr>
        <w:tc>
          <w:tcPr>
            <w:tcW w:w="1920" w:type="dxa"/>
            <w:vAlign w:val="bottom"/>
            <w:tcBorders>
              <w:top w:val="single" w:sz="8" w:color="DBDBDB"/>
            </w:tcBorders>
            <w:vMerge w:val="continue"/>
            <w:shd w:val="clear" w:color="auto" w:fill="DBDBDB"/>
          </w:tcPr>
          <w:p>
            <w:pPr>
              <w:spacing w:after="0"/>
              <w:rPr>
                <w:sz w:val="11"/>
                <w:szCs w:val="11"/>
                <w:color w:val="auto"/>
              </w:rPr>
            </w:pPr>
          </w:p>
        </w:tc>
        <w:tc>
          <w:tcPr>
            <w:tcW w:w="8220" w:type="dxa"/>
            <w:vAlign w:val="bottom"/>
            <w:tcBorders>
              <w:top w:val="single" w:sz="8" w:color="0000FF"/>
            </w:tcBorders>
            <w:gridSpan w:val="10"/>
            <w:vMerge w:val="restart"/>
            <w:shd w:val="clear" w:color="auto" w:fill="DBDBDB"/>
          </w:tcPr>
          <w:p>
            <w:pPr>
              <w:spacing w:after="0" w:line="196" w:lineRule="exact"/>
              <w:rPr>
                <w:rFonts w:ascii="Arial" w:cs="Arial" w:eastAsia="Arial" w:hAnsi="Arial"/>
                <w:sz w:val="18"/>
                <w:szCs w:val="18"/>
                <w:color w:val="0000FF"/>
                <w:w w:val="99"/>
              </w:rPr>
            </w:pPr>
            <w:hyperlink r:id="rId38">
              <w:r>
                <w:rPr>
                  <w:rFonts w:ascii="Arial" w:cs="Arial" w:eastAsia="Arial" w:hAnsi="Arial"/>
                  <w:sz w:val="18"/>
                  <w:szCs w:val="18"/>
                  <w:color w:val="0000FF"/>
                  <w:w w:val="99"/>
                </w:rPr>
                <w:t>to Exhibit 3(a) of the Registrant’s Annual Report on Form 10-K for the year ended December 31, 2014).</w:t>
              </w:r>
            </w:hyperlink>
          </w:p>
        </w:tc>
        <w:tc>
          <w:tcPr>
            <w:tcW w:w="1000" w:type="dxa"/>
            <w:vAlign w:val="bottom"/>
            <w:tcBorders>
              <w:top w:val="single" w:sz="8" w:color="0000FF"/>
            </w:tcBorders>
            <w:gridSpan w:val="5"/>
            <w:vMerge w:val="restart"/>
            <w:shd w:val="clear" w:color="auto" w:fill="DBDBDB"/>
          </w:tcPr>
          <w:p>
            <w:pPr>
              <w:spacing w:after="0"/>
              <w:rPr>
                <w:sz w:val="11"/>
                <w:szCs w:val="11"/>
                <w:color w:val="auto"/>
              </w:rPr>
            </w:pPr>
          </w:p>
        </w:tc>
        <w:tc>
          <w:tcPr>
            <w:tcW w:w="100" w:type="dxa"/>
            <w:vAlign w:val="bottom"/>
            <w:tcBorders>
              <w:top w:val="single" w:sz="8" w:color="DBDBDB"/>
            </w:tcBorders>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920" w:type="dxa"/>
            <w:vAlign w:val="bottom"/>
            <w:tcBorders>
              <w:bottom w:val="single" w:sz="8" w:color="DBDBDB"/>
            </w:tcBorders>
            <w:shd w:val="clear" w:color="auto" w:fill="DBDBDB"/>
          </w:tcPr>
          <w:p>
            <w:pPr>
              <w:spacing w:after="0"/>
              <w:rPr>
                <w:sz w:val="9"/>
                <w:szCs w:val="9"/>
                <w:color w:val="auto"/>
              </w:rPr>
            </w:pPr>
          </w:p>
        </w:tc>
        <w:tc>
          <w:tcPr>
            <w:tcW w:w="8220" w:type="dxa"/>
            <w:vAlign w:val="bottom"/>
            <w:tcBorders>
              <w:bottom w:val="single" w:sz="8" w:color="0000FF"/>
            </w:tcBorders>
            <w:gridSpan w:val="10"/>
            <w:vMerge w:val="continue"/>
            <w:shd w:val="clear" w:color="auto" w:fill="DBDBDB"/>
          </w:tcPr>
          <w:p>
            <w:pPr>
              <w:spacing w:after="0"/>
              <w:rPr>
                <w:sz w:val="9"/>
                <w:szCs w:val="9"/>
                <w:color w:val="auto"/>
              </w:rPr>
            </w:pPr>
          </w:p>
        </w:tc>
        <w:tc>
          <w:tcPr>
            <w:tcW w:w="1000" w:type="dxa"/>
            <w:vAlign w:val="bottom"/>
            <w:tcBorders>
              <w:bottom w:val="single" w:sz="8" w:color="DBDBDB"/>
            </w:tcBorders>
            <w:gridSpan w:val="5"/>
            <w:vMerge w:val="continue"/>
            <w:shd w:val="clear" w:color="auto" w:fill="DBDBDB"/>
          </w:tcPr>
          <w:p>
            <w:pPr>
              <w:spacing w:after="0"/>
              <w:rPr>
                <w:sz w:val="9"/>
                <w:szCs w:val="9"/>
                <w:color w:val="auto"/>
              </w:rPr>
            </w:pPr>
          </w:p>
        </w:tc>
        <w:tc>
          <w:tcPr>
            <w:tcW w:w="100" w:type="dxa"/>
            <w:vAlign w:val="bottom"/>
            <w:tcBorders>
              <w:bottom w:val="single" w:sz="8" w:color="DBDBDB"/>
            </w:tcBorders>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9"/>
              </w:rPr>
              <w:t>3(b)</w:t>
            </w:r>
          </w:p>
        </w:tc>
        <w:tc>
          <w:tcPr>
            <w:tcW w:w="8960" w:type="dxa"/>
            <w:vAlign w:val="bottom"/>
            <w:tcBorders>
              <w:bottom w:val="single" w:sz="8" w:color="0000FF"/>
            </w:tcBorders>
            <w:gridSpan w:val="13"/>
          </w:tcPr>
          <w:p>
            <w:pPr>
              <w:spacing w:after="0" w:line="202" w:lineRule="exact"/>
              <w:rPr>
                <w:rFonts w:ascii="Arial" w:cs="Arial" w:eastAsia="Arial" w:hAnsi="Arial"/>
                <w:sz w:val="18"/>
                <w:szCs w:val="18"/>
                <w:color w:val="0000FF"/>
                <w:w w:val="99"/>
              </w:rPr>
            </w:pPr>
            <w:hyperlink r:id="rId39">
              <w:r>
                <w:rPr>
                  <w:rFonts w:ascii="Arial" w:cs="Arial" w:eastAsia="Arial" w:hAnsi="Arial"/>
                  <w:sz w:val="18"/>
                  <w:szCs w:val="18"/>
                  <w:color w:val="0000FF"/>
                  <w:w w:val="99"/>
                </w:rPr>
                <w:t>By-Laws of the Registrant (incorporated by reference to Exhibit 3 of the Registrant’s Current Report on Form 8-K</w:t>
              </w:r>
            </w:hyperlink>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20" w:type="dxa"/>
            <w:vAlign w:val="bottom"/>
            <w:vMerge w:val="continue"/>
          </w:tcPr>
          <w:p>
            <w:pPr>
              <w:spacing w:after="0"/>
              <w:rPr>
                <w:sz w:val="11"/>
                <w:szCs w:val="11"/>
                <w:color w:val="auto"/>
              </w:rPr>
            </w:pPr>
          </w:p>
        </w:tc>
        <w:tc>
          <w:tcPr>
            <w:tcW w:w="9320" w:type="dxa"/>
            <w:vAlign w:val="bottom"/>
            <w:gridSpan w:val="16"/>
            <w:vMerge w:val="restart"/>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filed January 26, 2022).</w:t>
              </w:r>
            </w:hyperlink>
          </w:p>
        </w:tc>
        <w:tc>
          <w:tcPr>
            <w:tcW w:w="0" w:type="dxa"/>
            <w:vAlign w:val="bottom"/>
          </w:tcPr>
          <w:p>
            <w:pPr>
              <w:spacing w:after="0"/>
              <w:rPr>
                <w:sz w:val="1"/>
                <w:szCs w:val="1"/>
                <w:color w:val="auto"/>
              </w:rPr>
            </w:pPr>
          </w:p>
        </w:tc>
      </w:tr>
      <w:tr>
        <w:trPr>
          <w:trHeight w:val="63"/>
        </w:trPr>
        <w:tc>
          <w:tcPr>
            <w:tcW w:w="1920" w:type="dxa"/>
            <w:vAlign w:val="bottom"/>
          </w:tcPr>
          <w:p>
            <w:pPr>
              <w:spacing w:after="0"/>
              <w:rPr>
                <w:sz w:val="5"/>
                <w:szCs w:val="5"/>
                <w:color w:val="auto"/>
              </w:rPr>
            </w:pPr>
          </w:p>
        </w:tc>
        <w:tc>
          <w:tcPr>
            <w:tcW w:w="932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9"/>
              </w:rPr>
              <w:t>31(a)</w:t>
            </w:r>
          </w:p>
        </w:tc>
        <w:tc>
          <w:tcPr>
            <w:tcW w:w="8360" w:type="dxa"/>
            <w:vAlign w:val="bottom"/>
            <w:tcBorders>
              <w:bottom w:val="single" w:sz="8" w:color="0000FF"/>
            </w:tcBorders>
            <w:gridSpan w:val="12"/>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of Chief Executive Officer of Periodic Report Pursuant to Rule 13a-14(a) or Rule 15d-14(a).†</w:t>
            </w:r>
          </w:p>
        </w:tc>
        <w:tc>
          <w:tcPr>
            <w:tcW w:w="960" w:type="dxa"/>
            <w:vAlign w:val="bottom"/>
            <w:tcBorders>
              <w:bottom w:val="single" w:sz="8" w:color="DBDBDB"/>
            </w:tcBorders>
            <w:gridSpan w:val="4"/>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31(b)</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0000FF"/>
              </w:rPr>
              <w:t>Certification of Chief Financial Officer of Periodic Report Pursuant to Rule 13a-14(a) or Rule 15d-14(a).†</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9"/>
              </w:rPr>
              <w:t>32(a)</w:t>
            </w:r>
          </w:p>
        </w:tc>
        <w:tc>
          <w:tcPr>
            <w:tcW w:w="7620" w:type="dxa"/>
            <w:vAlign w:val="bottom"/>
            <w:tcBorders>
              <w:bottom w:val="single" w:sz="8" w:color="0000FF"/>
            </w:tcBorders>
            <w:gridSpan w:val="9"/>
            <w:shd w:val="clear" w:color="auto" w:fill="DBDBDB"/>
          </w:tcPr>
          <w:p>
            <w:pPr>
              <w:spacing w:after="0" w:line="202" w:lineRule="exact"/>
              <w:rPr>
                <w:sz w:val="20"/>
                <w:szCs w:val="20"/>
                <w:color w:val="auto"/>
              </w:rPr>
            </w:pPr>
            <w:r>
              <w:rPr>
                <w:rFonts w:ascii="Arial" w:cs="Arial" w:eastAsia="Arial" w:hAnsi="Arial"/>
                <w:sz w:val="18"/>
                <w:szCs w:val="18"/>
                <w:color w:val="0000FF"/>
                <w:w w:val="99"/>
              </w:rPr>
              <w:t>Certification by Chief Executive Officer of Periodic Report Pursuant to 18 U.S.C. Section 1350.†</w:t>
            </w:r>
          </w:p>
        </w:tc>
        <w:tc>
          <w:tcPr>
            <w:tcW w:w="1700" w:type="dxa"/>
            <w:vAlign w:val="bottom"/>
            <w:tcBorders>
              <w:bottom w:val="single" w:sz="8" w:color="DBDBDB"/>
            </w:tcBorders>
            <w:gridSpan w:val="7"/>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32(b)</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0000FF"/>
              </w:rPr>
              <w:t>Certification by Chief Financial Officer of Periodic Report Pursuant to 18 U.S.C. Section 1350.†</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20" w:type="dxa"/>
            <w:vAlign w:val="bottom"/>
            <w:vMerge w:val="restart"/>
            <w:shd w:val="clear" w:color="auto" w:fill="DBDBDB"/>
          </w:tcPr>
          <w:p>
            <w:pPr>
              <w:jc w:val="center"/>
              <w:ind w:right="13"/>
              <w:spacing w:after="0"/>
              <w:rPr>
                <w:sz w:val="20"/>
                <w:szCs w:val="20"/>
                <w:color w:val="auto"/>
              </w:rPr>
            </w:pPr>
            <w:r>
              <w:rPr>
                <w:rFonts w:ascii="Arial" w:cs="Arial" w:eastAsia="Arial" w:hAnsi="Arial"/>
                <w:sz w:val="18"/>
                <w:szCs w:val="18"/>
                <w:color w:val="auto"/>
                <w:w w:val="99"/>
              </w:rPr>
              <w:t>101.ins</w:t>
            </w:r>
          </w:p>
        </w:tc>
        <w:tc>
          <w:tcPr>
            <w:tcW w:w="9320" w:type="dxa"/>
            <w:vAlign w:val="bottom"/>
            <w:gridSpan w:val="16"/>
            <w:shd w:val="clear" w:color="auto" w:fill="DBDBDB"/>
          </w:tcPr>
          <w:p>
            <w:pPr>
              <w:spacing w:after="0" w:line="202"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133"/>
        </w:trPr>
        <w:tc>
          <w:tcPr>
            <w:tcW w:w="1920" w:type="dxa"/>
            <w:vAlign w:val="bottom"/>
            <w:tcBorders>
              <w:top w:val="single" w:sz="8" w:color="DBDBDB"/>
            </w:tcBorders>
            <w:vMerge w:val="continue"/>
            <w:shd w:val="clear" w:color="auto" w:fill="DBDBDB"/>
          </w:tcPr>
          <w:p>
            <w:pPr>
              <w:spacing w:after="0"/>
              <w:rPr>
                <w:sz w:val="11"/>
                <w:szCs w:val="11"/>
                <w:color w:val="auto"/>
              </w:rPr>
            </w:pPr>
          </w:p>
        </w:tc>
        <w:tc>
          <w:tcPr>
            <w:tcW w:w="9060" w:type="dxa"/>
            <w:vAlign w:val="bottom"/>
            <w:tcBorders>
              <w:top w:val="single" w:sz="8" w:color="auto"/>
            </w:tcBorders>
            <w:gridSpan w:val="14"/>
            <w:vMerge w:val="restart"/>
            <w:shd w:val="clear" w:color="auto" w:fill="DBDBDB"/>
          </w:tcPr>
          <w:p>
            <w:pPr>
              <w:spacing w:after="0" w:line="196" w:lineRule="exact"/>
              <w:rPr>
                <w:sz w:val="20"/>
                <w:szCs w:val="20"/>
                <w:color w:val="auto"/>
              </w:rPr>
            </w:pPr>
            <w:r>
              <w:rPr>
                <w:rFonts w:ascii="Arial" w:cs="Arial" w:eastAsia="Arial" w:hAnsi="Arial"/>
                <w:sz w:val="18"/>
                <w:szCs w:val="18"/>
                <w:color w:val="auto"/>
              </w:rPr>
              <w:t>tags are embedded within the Inline XBRL document.†</w:t>
            </w:r>
          </w:p>
        </w:tc>
        <w:tc>
          <w:tcPr>
            <w:tcW w:w="260" w:type="dxa"/>
            <w:vAlign w:val="bottom"/>
            <w:tcBorders>
              <w:top w:val="single" w:sz="8" w:color="DBDBDB"/>
            </w:tcBorders>
            <w:gridSpan w:val="2"/>
            <w:vMerge w:val="restart"/>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920" w:type="dxa"/>
            <w:vAlign w:val="bottom"/>
            <w:shd w:val="clear" w:color="auto" w:fill="DBDBDB"/>
          </w:tcPr>
          <w:p>
            <w:pPr>
              <w:spacing w:after="0"/>
              <w:rPr>
                <w:sz w:val="5"/>
                <w:szCs w:val="5"/>
                <w:color w:val="auto"/>
              </w:rPr>
            </w:pPr>
          </w:p>
        </w:tc>
        <w:tc>
          <w:tcPr>
            <w:tcW w:w="9060" w:type="dxa"/>
            <w:vAlign w:val="bottom"/>
            <w:gridSpan w:val="14"/>
            <w:vMerge w:val="continue"/>
            <w:shd w:val="clear" w:color="auto" w:fill="DBDBDB"/>
          </w:tcPr>
          <w:p>
            <w:pPr>
              <w:spacing w:after="0"/>
              <w:rPr>
                <w:sz w:val="5"/>
                <w:szCs w:val="5"/>
                <w:color w:val="auto"/>
              </w:rPr>
            </w:pPr>
          </w:p>
        </w:tc>
        <w:tc>
          <w:tcPr>
            <w:tcW w:w="260" w:type="dxa"/>
            <w:vAlign w:val="bottom"/>
            <w:gridSpan w:val="2"/>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920" w:type="dxa"/>
            <w:vAlign w:val="bottom"/>
            <w:tcBorders>
              <w:top w:val="single" w:sz="8" w:color="DBDBDB"/>
            </w:tcBorders>
            <w:shd w:val="clear" w:color="auto" w:fill="DBDBDB"/>
          </w:tcPr>
          <w:p>
            <w:pPr>
              <w:spacing w:after="0"/>
              <w:rPr>
                <w:sz w:val="4"/>
                <w:szCs w:val="4"/>
                <w:color w:val="auto"/>
              </w:rPr>
            </w:pPr>
          </w:p>
        </w:tc>
        <w:tc>
          <w:tcPr>
            <w:tcW w:w="1880" w:type="dxa"/>
            <w:vAlign w:val="bottom"/>
            <w:tcBorders>
              <w:top w:val="single" w:sz="8" w:color="auto"/>
            </w:tcBorders>
            <w:shd w:val="clear" w:color="auto" w:fill="DBDBDB"/>
          </w:tcPr>
          <w:p>
            <w:pPr>
              <w:spacing w:after="0"/>
              <w:rPr>
                <w:sz w:val="4"/>
                <w:szCs w:val="4"/>
                <w:color w:val="auto"/>
              </w:rPr>
            </w:pPr>
          </w:p>
        </w:tc>
        <w:tc>
          <w:tcPr>
            <w:tcW w:w="2040" w:type="dxa"/>
            <w:vAlign w:val="bottom"/>
            <w:tcBorders>
              <w:top w:val="single" w:sz="8" w:color="auto"/>
            </w:tcBorders>
            <w:shd w:val="clear" w:color="auto" w:fill="DBDBDB"/>
          </w:tcPr>
          <w:p>
            <w:pPr>
              <w:spacing w:after="0"/>
              <w:rPr>
                <w:sz w:val="4"/>
                <w:szCs w:val="4"/>
                <w:color w:val="auto"/>
              </w:rPr>
            </w:pPr>
          </w:p>
        </w:tc>
        <w:tc>
          <w:tcPr>
            <w:tcW w:w="4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5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spacing w:after="0" w:line="202" w:lineRule="exact"/>
              <w:rPr>
                <w:sz w:val="20"/>
                <w:szCs w:val="20"/>
                <w:color w:val="auto"/>
              </w:rPr>
            </w:pPr>
            <w:r>
              <w:rPr>
                <w:rFonts w:ascii="Arial" w:cs="Arial" w:eastAsia="Arial" w:hAnsi="Arial"/>
                <w:sz w:val="18"/>
                <w:szCs w:val="18"/>
                <w:color w:val="auto"/>
                <w:w w:val="99"/>
              </w:rPr>
              <w:t>101.def</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8"/>
              </w:rPr>
              <w:t>101.sch</w:t>
            </w:r>
          </w:p>
        </w:tc>
        <w:tc>
          <w:tcPr>
            <w:tcW w:w="3920" w:type="dxa"/>
            <w:vAlign w:val="bottom"/>
            <w:tcBorders>
              <w:bottom w:val="single" w:sz="8" w:color="auto"/>
            </w:tcBorders>
            <w:gridSpan w:val="2"/>
            <w:shd w:val="clear" w:color="auto" w:fill="DBDBDB"/>
          </w:tcPr>
          <w:p>
            <w:pPr>
              <w:spacing w:after="0" w:line="202" w:lineRule="exact"/>
              <w:rPr>
                <w:sz w:val="20"/>
                <w:szCs w:val="20"/>
                <w:color w:val="auto"/>
              </w:rPr>
            </w:pPr>
            <w:r>
              <w:rPr>
                <w:rFonts w:ascii="Arial" w:cs="Arial" w:eastAsia="Arial" w:hAnsi="Arial"/>
                <w:sz w:val="18"/>
                <w:szCs w:val="18"/>
                <w:color w:val="auto"/>
                <w:w w:val="99"/>
              </w:rPr>
              <w:t>XBRL Taxonomy Extension Schema Document.†</w:t>
            </w:r>
          </w:p>
        </w:tc>
        <w:tc>
          <w:tcPr>
            <w:tcW w:w="5400" w:type="dxa"/>
            <w:vAlign w:val="bottom"/>
            <w:tcBorders>
              <w:bottom w:val="single" w:sz="8" w:color="DBDBDB"/>
            </w:tcBorders>
            <w:gridSpan w:val="14"/>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w w:val="99"/>
              </w:rPr>
              <w:t>101.cal</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0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DBDBDB"/>
            </w:tcBorders>
            <w:shd w:val="clear" w:color="auto" w:fill="DBDBDB"/>
          </w:tcPr>
          <w:p>
            <w:pPr>
              <w:jc w:val="center"/>
              <w:ind w:right="13"/>
              <w:spacing w:after="0" w:line="202" w:lineRule="exact"/>
              <w:rPr>
                <w:sz w:val="20"/>
                <w:szCs w:val="20"/>
                <w:color w:val="auto"/>
              </w:rPr>
            </w:pPr>
            <w:r>
              <w:rPr>
                <w:rFonts w:ascii="Arial" w:cs="Arial" w:eastAsia="Arial" w:hAnsi="Arial"/>
                <w:sz w:val="18"/>
                <w:szCs w:val="18"/>
                <w:color w:val="auto"/>
                <w:w w:val="98"/>
              </w:rPr>
              <w:t>101.lab</w:t>
            </w:r>
          </w:p>
        </w:tc>
        <w:tc>
          <w:tcPr>
            <w:tcW w:w="4480" w:type="dxa"/>
            <w:vAlign w:val="bottom"/>
            <w:tcBorders>
              <w:bottom w:val="single" w:sz="8" w:color="auto"/>
            </w:tcBorders>
            <w:gridSpan w:val="4"/>
            <w:shd w:val="clear" w:color="auto" w:fill="DBDBDB"/>
          </w:tcPr>
          <w:p>
            <w:pPr>
              <w:spacing w:after="0" w:line="202" w:lineRule="exact"/>
              <w:rPr>
                <w:sz w:val="20"/>
                <w:szCs w:val="20"/>
                <w:color w:val="auto"/>
              </w:rPr>
            </w:pPr>
            <w:r>
              <w:rPr>
                <w:rFonts w:ascii="Arial" w:cs="Arial" w:eastAsia="Arial" w:hAnsi="Arial"/>
                <w:sz w:val="18"/>
                <w:szCs w:val="18"/>
                <w:color w:val="auto"/>
                <w:w w:val="99"/>
              </w:rPr>
              <w:t>XBRL Taxonomy Extension Label Linkbase Document.†</w:t>
            </w:r>
          </w:p>
        </w:tc>
        <w:tc>
          <w:tcPr>
            <w:tcW w:w="4840" w:type="dxa"/>
            <w:vAlign w:val="bottom"/>
            <w:tcBorders>
              <w:bottom w:val="single" w:sz="8" w:color="DBDBDB"/>
            </w:tcBorders>
            <w:gridSpan w:val="12"/>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20" w:type="dxa"/>
            <w:vAlign w:val="bottom"/>
          </w:tcPr>
          <w:p>
            <w:pPr>
              <w:jc w:val="center"/>
              <w:ind w:right="13"/>
              <w:spacing w:after="0" w:line="202" w:lineRule="exact"/>
              <w:rPr>
                <w:sz w:val="20"/>
                <w:szCs w:val="20"/>
                <w:color w:val="auto"/>
              </w:rPr>
            </w:pPr>
            <w:r>
              <w:rPr>
                <w:rFonts w:ascii="Arial" w:cs="Arial" w:eastAsia="Arial" w:hAnsi="Arial"/>
                <w:sz w:val="18"/>
                <w:szCs w:val="18"/>
                <w:color w:val="auto"/>
              </w:rPr>
              <w:t>101.pre</w:t>
            </w:r>
          </w:p>
        </w:tc>
        <w:tc>
          <w:tcPr>
            <w:tcW w:w="9320" w:type="dxa"/>
            <w:vAlign w:val="bottom"/>
            <w:gridSpan w:val="16"/>
          </w:tcPr>
          <w:p>
            <w:pPr>
              <w:spacing w:after="0" w:line="202"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1920" w:hanging="1158"/>
        <w:spacing w:after="0"/>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Cover Page Interactive Data File (embedded within the Inline XBRL document).†</w:t>
      </w:r>
    </w:p>
    <w:p>
      <w:pPr>
        <w:spacing w:after="0" w:line="63" w:lineRule="exact"/>
        <w:rPr>
          <w:rFonts w:ascii="Arial" w:cs="Arial" w:eastAsia="Arial" w:hAnsi="Arial"/>
          <w:sz w:val="18"/>
          <w:szCs w:val="18"/>
          <w:color w:val="auto"/>
        </w:rPr>
      </w:pPr>
    </w:p>
    <w:p>
      <w:pPr>
        <w:ind w:left="180" w:hanging="154"/>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34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44" w:lineRule="exact"/>
        <w:rPr>
          <w:rFonts w:ascii="Arial" w:cs="Arial" w:eastAsia="Arial" w:hAnsi="Arial"/>
          <w:sz w:val="18"/>
          <w:szCs w:val="18"/>
          <w:color w:val="auto"/>
        </w:rPr>
      </w:pPr>
    </w:p>
    <w:p>
      <w:pPr>
        <w:ind w:left="620" w:right="42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20" w:right="44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spacing w:after="0" w:line="44" w:lineRule="exact"/>
        <w:rPr>
          <w:rFonts w:ascii="Arial" w:cs="Arial" w:eastAsia="Arial" w:hAnsi="Arial"/>
          <w:sz w:val="18"/>
          <w:szCs w:val="18"/>
          <w:color w:val="auto"/>
        </w:rPr>
      </w:pPr>
    </w:p>
    <w:p>
      <w:pPr>
        <w:ind w:left="620" w:right="22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44" w:lineRule="exact"/>
        <w:rPr>
          <w:rFonts w:ascii="Arial" w:cs="Arial" w:eastAsia="Arial" w:hAnsi="Arial"/>
          <w:sz w:val="18"/>
          <w:szCs w:val="18"/>
          <w:color w:val="auto"/>
        </w:rPr>
      </w:pPr>
    </w:p>
    <w:p>
      <w:pPr>
        <w:ind w:left="620" w:right="260" w:hanging="329"/>
        <w:spacing w:after="0" w:line="268"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62" w:lineRule="exact"/>
        <w:rPr>
          <w:rFonts w:ascii="Arial" w:cs="Arial" w:eastAsia="Arial" w:hAnsi="Arial"/>
          <w:sz w:val="18"/>
          <w:szCs w:val="18"/>
          <w:color w:val="auto"/>
        </w:rPr>
      </w:pPr>
    </w:p>
    <w:p>
      <w:pPr>
        <w:ind w:left="620" w:right="62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117" w:lineRule="exact"/>
        <w:rPr>
          <w:rFonts w:ascii="Arial" w:cs="Arial" w:eastAsia="Arial" w:hAnsi="Arial"/>
          <w:sz w:val="18"/>
          <w:szCs w:val="18"/>
          <w:color w:val="auto"/>
        </w:rPr>
      </w:pPr>
    </w:p>
    <w:p>
      <w:pPr>
        <w:ind w:left="620" w:right="120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44" w:lineRule="exact"/>
        <w:rPr>
          <w:rFonts w:ascii="Arial" w:cs="Arial" w:eastAsia="Arial" w:hAnsi="Arial"/>
          <w:sz w:val="18"/>
          <w:szCs w:val="18"/>
          <w:color w:val="auto"/>
        </w:rPr>
      </w:pPr>
    </w:p>
    <w:p>
      <w:pPr>
        <w:jc w:val="both"/>
        <w:ind w:left="620" w:right="68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44" w:lineRule="exact"/>
        <w:rPr>
          <w:rFonts w:ascii="Arial" w:cs="Arial" w:eastAsia="Arial" w:hAnsi="Arial"/>
          <w:sz w:val="18"/>
          <w:szCs w:val="18"/>
          <w:color w:val="auto"/>
        </w:rPr>
      </w:pPr>
    </w:p>
    <w:p>
      <w:pPr>
        <w:ind w:left="620" w:right="320" w:hanging="329"/>
        <w:spacing w:after="0" w:line="268"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2" w:lineRule="exact"/>
        <w:rPr>
          <w:rFonts w:ascii="Arial" w:cs="Arial" w:eastAsia="Arial" w:hAnsi="Arial"/>
          <w:sz w:val="18"/>
          <w:szCs w:val="18"/>
          <w:color w:val="auto"/>
        </w:rPr>
      </w:pPr>
    </w:p>
    <w:p>
      <w:pPr>
        <w:ind w:left="620" w:right="66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17" w:lineRule="exact"/>
        <w:rPr>
          <w:rFonts w:ascii="Arial" w:cs="Arial" w:eastAsia="Arial" w:hAnsi="Arial"/>
          <w:sz w:val="18"/>
          <w:szCs w:val="18"/>
          <w:color w:val="auto"/>
        </w:rPr>
      </w:pPr>
    </w:p>
    <w:p>
      <w:pPr>
        <w:ind w:left="620" w:right="16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44" w:lineRule="exact"/>
        <w:rPr>
          <w:rFonts w:ascii="Arial" w:cs="Arial" w:eastAsia="Arial" w:hAnsi="Arial"/>
          <w:sz w:val="18"/>
          <w:szCs w:val="18"/>
          <w:color w:val="auto"/>
        </w:rPr>
      </w:pPr>
    </w:p>
    <w:p>
      <w:pPr>
        <w:ind w:left="620" w:right="140" w:hanging="329"/>
        <w:spacing w:after="0" w:line="28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44" w:lineRule="exact"/>
        <w:rPr>
          <w:rFonts w:ascii="Arial" w:cs="Arial" w:eastAsia="Arial" w:hAnsi="Arial"/>
          <w:sz w:val="18"/>
          <w:szCs w:val="18"/>
          <w:color w:val="auto"/>
        </w:rPr>
      </w:pPr>
    </w:p>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2" w:name="page23"/>
    <w:bookmarkEnd w:id="22"/>
    <w:p>
      <w:pPr>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06" w:right="51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TEXAS INSTRUMENTS INCORPORATED</w:t>
      </w:r>
    </w:p>
    <w:p>
      <w:pPr>
        <w:spacing w:after="0" w:line="293" w:lineRule="exact"/>
        <w:rPr>
          <w:sz w:val="20"/>
          <w:szCs w:val="20"/>
          <w:color w:val="auto"/>
        </w:rPr>
      </w:pPr>
    </w:p>
    <w:p>
      <w:pPr>
        <w:ind w:left="612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17780</wp:posOffset>
            </wp:positionV>
            <wp:extent cx="29578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16"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 xml:space="preserve">Rafael Lizardi, </w:t>
      </w:r>
      <w:r>
        <w:rPr>
          <w:rFonts w:ascii="Arial" w:cs="Arial" w:eastAsia="Arial" w:hAnsi="Arial"/>
          <w:sz w:val="18"/>
          <w:szCs w:val="18"/>
          <w:color w:val="auto"/>
        </w:rPr>
        <w:t>Senior Vice President and Chief Financial</w:t>
      </w:r>
    </w:p>
    <w:p>
      <w:pPr>
        <w:jc w:val="center"/>
        <w:ind w:left="6520"/>
        <w:spacing w:after="0"/>
        <w:rPr>
          <w:sz w:val="20"/>
          <w:szCs w:val="20"/>
          <w:color w:val="auto"/>
        </w:rPr>
      </w:pPr>
      <w:r>
        <w:rPr>
          <w:rFonts w:ascii="Arial" w:cs="Arial" w:eastAsia="Arial" w:hAnsi="Arial"/>
          <w:sz w:val="18"/>
          <w:szCs w:val="18"/>
          <w:color w:val="auto"/>
        </w:rPr>
        <w:t>Officer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2025</w:t>
      </w:r>
    </w:p>
    <w:p>
      <w:pPr>
        <w:sectPr>
          <w:pgSz w:w="11900" w:h="16838" w:orient="portrait"/>
          <w:cols w:equalWidth="0" w:num="1">
            <w:col w:w="11200"/>
          </w:cols>
          <w:pgMar w:left="320" w:top="890" w:right="37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Haviv Ilan, certify that:</w:t>
      </w:r>
    </w:p>
    <w:p>
      <w:pPr>
        <w:spacing w:after="0" w:line="212"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ind w:left="500" w:right="120" w:hanging="492"/>
        <w:spacing w:after="0" w:line="233" w:lineRule="auto"/>
        <w:tabs>
          <w:tab w:leader="none" w:pos="4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8"/>
          <w:szCs w:val="18"/>
          <w:color w:val="auto"/>
        </w:rPr>
      </w:pPr>
    </w:p>
    <w:p>
      <w:pPr>
        <w:ind w:left="500" w:hanging="492"/>
        <w:spacing w:after="0" w:line="285" w:lineRule="auto"/>
        <w:tabs>
          <w:tab w:leader="none" w:pos="488"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left="500" w:right="100" w:hanging="492"/>
        <w:spacing w:after="0" w:line="233" w:lineRule="auto"/>
        <w:tabs>
          <w:tab w:leader="none" w:pos="4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8"/>
          <w:szCs w:val="18"/>
          <w:color w:val="auto"/>
        </w:rPr>
      </w:pPr>
    </w:p>
    <w:p>
      <w:pPr>
        <w:ind w:left="980" w:right="20" w:hanging="486"/>
        <w:spacing w:after="0" w:line="268" w:lineRule="auto"/>
        <w:tabs>
          <w:tab w:leader="none" w:pos="9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486"/>
        <w:spacing w:after="0" w:line="268" w:lineRule="auto"/>
        <w:tabs>
          <w:tab w:leader="none" w:pos="9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right="260" w:hanging="486"/>
        <w:spacing w:after="0" w:line="268" w:lineRule="auto"/>
        <w:tabs>
          <w:tab w:leader="none" w:pos="9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486"/>
        <w:spacing w:after="0" w:line="268" w:lineRule="auto"/>
        <w:tabs>
          <w:tab w:leader="none" w:pos="9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00" w:right="300" w:hanging="492"/>
        <w:spacing w:after="0" w:line="233" w:lineRule="auto"/>
        <w:tabs>
          <w:tab w:leader="none" w:pos="4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8"/>
          <w:szCs w:val="18"/>
          <w:color w:val="auto"/>
        </w:rPr>
      </w:pPr>
    </w:p>
    <w:p>
      <w:pPr>
        <w:ind w:left="980" w:right="260" w:hanging="486"/>
        <w:spacing w:after="0" w:line="268" w:lineRule="auto"/>
        <w:tabs>
          <w:tab w:leader="none" w:pos="9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486"/>
        <w:spacing w:after="0" w:line="287" w:lineRule="auto"/>
        <w:tabs>
          <w:tab w:leader="none" w:pos="9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2025</w:t>
      </w:r>
    </w:p>
    <w:p>
      <w:pPr>
        <w:spacing w:after="0" w:line="266"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3"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Haviv Ilan</w:t>
      </w:r>
    </w:p>
    <w:p>
      <w:pPr>
        <w:ind w:left="9120"/>
        <w:spacing w:after="0" w:line="219" w:lineRule="auto"/>
        <w:rPr>
          <w:sz w:val="20"/>
          <w:szCs w:val="20"/>
          <w:color w:val="auto"/>
        </w:rPr>
      </w:pPr>
      <w:r>
        <w:rPr>
          <w:rFonts w:ascii="Arial" w:cs="Arial" w:eastAsia="Arial" w:hAnsi="Arial"/>
          <w:sz w:val="18"/>
          <w:szCs w:val="18"/>
          <w:color w:val="auto"/>
        </w:rPr>
        <w:t>President and</w:t>
      </w:r>
    </w:p>
    <w:p>
      <w:pPr>
        <w:ind w:left="8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0"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Lizardi, certify that:</w:t>
      </w:r>
    </w:p>
    <w:p>
      <w:pPr>
        <w:spacing w:after="0" w:line="212"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ind w:left="500" w:right="120" w:hanging="492"/>
        <w:spacing w:after="0" w:line="233" w:lineRule="auto"/>
        <w:tabs>
          <w:tab w:leader="none" w:pos="4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8"/>
          <w:szCs w:val="18"/>
          <w:color w:val="auto"/>
        </w:rPr>
      </w:pPr>
    </w:p>
    <w:p>
      <w:pPr>
        <w:ind w:left="500" w:hanging="492"/>
        <w:spacing w:after="0" w:line="285" w:lineRule="auto"/>
        <w:tabs>
          <w:tab w:leader="none" w:pos="488"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left="500" w:right="100" w:hanging="492"/>
        <w:spacing w:after="0" w:line="233" w:lineRule="auto"/>
        <w:tabs>
          <w:tab w:leader="none" w:pos="4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6" w:lineRule="exact"/>
        <w:rPr>
          <w:rFonts w:ascii="Arial" w:cs="Arial" w:eastAsia="Arial" w:hAnsi="Arial"/>
          <w:sz w:val="18"/>
          <w:szCs w:val="18"/>
          <w:color w:val="auto"/>
        </w:rPr>
      </w:pPr>
    </w:p>
    <w:p>
      <w:pPr>
        <w:ind w:left="980" w:right="20" w:hanging="486"/>
        <w:spacing w:after="0" w:line="268" w:lineRule="auto"/>
        <w:tabs>
          <w:tab w:leader="none" w:pos="9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980" w:right="320" w:hanging="486"/>
        <w:spacing w:after="0" w:line="268" w:lineRule="auto"/>
        <w:tabs>
          <w:tab w:leader="none" w:pos="9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980" w:right="260" w:hanging="486"/>
        <w:spacing w:after="0" w:line="268" w:lineRule="auto"/>
        <w:tabs>
          <w:tab w:leader="none" w:pos="9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980" w:right="80" w:hanging="486"/>
        <w:spacing w:after="0" w:line="268" w:lineRule="auto"/>
        <w:tabs>
          <w:tab w:leader="none" w:pos="9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00" w:right="300" w:hanging="492"/>
        <w:spacing w:after="0" w:line="233" w:lineRule="auto"/>
        <w:tabs>
          <w:tab w:leader="none" w:pos="4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8"/>
          <w:szCs w:val="18"/>
          <w:color w:val="auto"/>
        </w:rPr>
      </w:pPr>
    </w:p>
    <w:p>
      <w:pPr>
        <w:ind w:left="980" w:right="260" w:hanging="486"/>
        <w:spacing w:after="0" w:line="268" w:lineRule="auto"/>
        <w:tabs>
          <w:tab w:leader="none" w:pos="9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80" w:hanging="486"/>
        <w:spacing w:after="0" w:line="287" w:lineRule="auto"/>
        <w:tabs>
          <w:tab w:leader="none" w:pos="9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2025</w:t>
      </w:r>
    </w:p>
    <w:p>
      <w:pPr>
        <w:spacing w:after="0" w:line="266"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/s/ Rafael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Rafael Lizardi</w:t>
      </w:r>
    </w:p>
    <w:p>
      <w:pPr>
        <w:jc w:val="center"/>
        <w:ind w:left="8120"/>
        <w:spacing w:after="0" w:line="219"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0"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Certification of Periodic Report</w:t>
      </w:r>
    </w:p>
    <w:p>
      <w:pPr>
        <w:spacing w:after="0" w:line="5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Pursuant to 18 U.S.C. Section 1350</w:t>
      </w:r>
    </w:p>
    <w:p>
      <w:pPr>
        <w:spacing w:after="0" w:line="3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Haviv Ilan, President and Chief Executive Officer of Texas Instruments Incorporated (the “Company”), hereby certifies that, to his knowledge:</w:t>
      </w:r>
    </w:p>
    <w:p>
      <w:pPr>
        <w:spacing w:after="0" w:line="207" w:lineRule="exact"/>
        <w:rPr>
          <w:sz w:val="20"/>
          <w:szCs w:val="20"/>
          <w:color w:val="auto"/>
        </w:rPr>
      </w:pPr>
    </w:p>
    <w:p>
      <w:pPr>
        <w:jc w:val="both"/>
        <w:ind w:firstLine="494"/>
        <w:spacing w:after="0" w:line="268" w:lineRule="auto"/>
        <w:tabs>
          <w:tab w:leader="none" w:pos="6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2025, as filed with the Securities and Exchange Commission on the date hereof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280" w:firstLine="494"/>
        <w:spacing w:after="0" w:line="287" w:lineRule="auto"/>
        <w:tabs>
          <w:tab w:leader="none" w:pos="7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April 24, 2025</w:t>
      </w:r>
    </w:p>
    <w:p>
      <w:pPr>
        <w:spacing w:after="0" w:line="306"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/s/ Haviv 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Haviv Ilan</w:t>
      </w:r>
    </w:p>
    <w:p>
      <w:pPr>
        <w:ind w:left="9120"/>
        <w:spacing w:after="0" w:line="203" w:lineRule="auto"/>
        <w:rPr>
          <w:sz w:val="20"/>
          <w:szCs w:val="20"/>
          <w:color w:val="auto"/>
        </w:rPr>
      </w:pPr>
      <w:r>
        <w:rPr>
          <w:rFonts w:ascii="Arial" w:cs="Arial" w:eastAsia="Arial" w:hAnsi="Arial"/>
          <w:sz w:val="18"/>
          <w:szCs w:val="18"/>
          <w:color w:val="auto"/>
        </w:rPr>
        <w:t>President and</w:t>
      </w:r>
    </w:p>
    <w:p>
      <w:pPr>
        <w:ind w:left="8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0"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315" w:lineRule="exact"/>
        <w:rPr>
          <w:sz w:val="20"/>
          <w:szCs w:val="20"/>
          <w:color w:val="auto"/>
        </w:rPr>
      </w:pPr>
    </w:p>
    <w:p>
      <w:pPr>
        <w:ind w:right="80" w:firstLine="486"/>
        <w:spacing w:after="0" w:line="268"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Rafael Lizardi, Senior Vice President and Chief Financial Officer of Texas Instruments Incorporated (the “Company”), hereby certifies that, to his knowledge:</w:t>
      </w:r>
    </w:p>
    <w:p>
      <w:pPr>
        <w:spacing w:after="0" w:line="171" w:lineRule="exact"/>
        <w:rPr>
          <w:sz w:val="20"/>
          <w:szCs w:val="20"/>
          <w:color w:val="auto"/>
        </w:rPr>
      </w:pPr>
    </w:p>
    <w:p>
      <w:pPr>
        <w:jc w:val="both"/>
        <w:ind w:firstLine="494"/>
        <w:spacing w:after="0" w:line="268" w:lineRule="auto"/>
        <w:tabs>
          <w:tab w:leader="none" w:pos="6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2025, as filed with the Securities and Exchange Commission on the date hereof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right="280" w:firstLine="494"/>
        <w:spacing w:after="0" w:line="287" w:lineRule="auto"/>
        <w:tabs>
          <w:tab w:leader="none" w:pos="7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April 24, 2025</w:t>
      </w:r>
    </w:p>
    <w:p>
      <w:pPr>
        <w:spacing w:after="0" w:line="306"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/s/ Rafael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17780</wp:posOffset>
            </wp:positionV>
            <wp:extent cx="19627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16"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Rafael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5"/>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1."/>
      <w:numFmt w:val="decimal"/>
      <w:start w:val="1"/>
    </w:lvl>
    <w:lvl w:ilvl="1">
      <w:lvlJc w:val="left"/>
      <w:lvlText w:val="(%2)"/>
      <w:numFmt w:val="lowerLetter"/>
      <w:start w:val="1"/>
    </w:lvl>
  </w:abstractNum>
  <w:abstractNum w:abstractNumId="11">
    <w:nsid w:val="25E45D32"/>
    <w:multiLevelType w:val="hybridMultilevel"/>
    <w:lvl w:ilvl="0">
      <w:lvlJc w:val="left"/>
      <w:lvlText w:val="%1."/>
      <w:numFmt w:val="decimal"/>
      <w:start w:val="2"/>
    </w:lvl>
  </w:abstractNum>
  <w:abstractNum w:abstractNumId="12">
    <w:nsid w:val="519B500D"/>
    <w:multiLevelType w:val="hybridMultilevel"/>
    <w:lvl w:ilvl="0">
      <w:lvlJc w:val="left"/>
      <w:lvlText w:val="•"/>
      <w:numFmt w:val="bullet"/>
      <w:start w:val="1"/>
    </w:lvl>
    <w:lvl w:ilvl="1">
      <w:lvlJc w:val="left"/>
      <w:lvlText w:val="◦"/>
      <w:numFmt w:val="bullet"/>
      <w:start w:val="1"/>
    </w:lvl>
  </w:abstractNum>
  <w:abstractNum w:abstractNumId="13">
    <w:nsid w:val="431BD7B7"/>
    <w:multiLevelType w:val="hybridMultilevel"/>
    <w:lvl w:ilvl="0">
      <w:lvlJc w:val="left"/>
      <w:lvlText w:val="•"/>
      <w:numFmt w:val="bullet"/>
      <w:start w:val="1"/>
    </w:lvl>
    <w:lvl w:ilvl="1">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
      <w:numFmt w:val="bullet"/>
      <w:start w:val="1"/>
    </w:lvl>
    <w:lvl w:ilvl="1">
      <w:lvlJc w:val="left"/>
      <w:lvlText w:val="%2"/>
      <w:numFmt w:val="decimal"/>
      <w:start w:val="104"/>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38" Type="http://schemas.openxmlformats.org/officeDocument/2006/relationships/hyperlink" Target="https://www.sec.gov/Archives/edgar/data/97476/000009747615000003/txn-12312014xexhibit3a.htm" TargetMode="External"/><Relationship Id="rId39" Type="http://schemas.openxmlformats.org/officeDocument/2006/relationships/hyperlink" Target="https://www.sec.gov/Archives/edgar/data/97476/000119312522018409/d252810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2025-04-24T08:57:03Z</dcterms:created>
  <dcterms:modified xsi:type="dcterms:W3CDTF">2025-04-24T08:57:03Z</dcterms:modified>
</cp:coreProperties>
</file>