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Arial;sans-serif" w:hAnsi="Arial;sans-serif"/>
          <w:b/>
          <w:color w:val="000000"/>
          <w:sz w:val="36"/>
        </w:rPr>
        <w:t>FORM 8-K</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13 OR 15(d)</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DATE OF REPORT (DATE OF EARLIEST EVENT REPORTED): July 22,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48"/>
        </w:rPr>
      </w:pPr>
      <w:r>
        <w:rPr>
          <w:rFonts w:ascii="Arial;sans-serif" w:hAnsi="Arial;sans-serif"/>
          <w:b/>
          <w:color w:val="000000"/>
          <w:sz w:val="48"/>
        </w:rPr>
        <w:t>TEXAS INSTRUMENTS INCORPORATED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(Exact name of registrant as specified in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590" w:type="dxa"/>
        <w:jc w:val="left"/>
        <w:tblInd w:w="0" w:type="dxa"/>
        <w:tblLayout w:type="fixed"/>
        <w:tblCellMar>
          <w:top w:w="28" w:type="dxa"/>
          <w:left w:w="28" w:type="dxa"/>
          <w:bottom w:w="28" w:type="dxa"/>
          <w:right w:w="28" w:type="dxa"/>
        </w:tblCellMar>
      </w:tblPr>
      <w:tblGrid>
        <w:gridCol w:w="797"/>
        <w:gridCol w:w="701"/>
        <w:gridCol w:w="707"/>
        <w:gridCol w:w="109"/>
        <w:gridCol w:w="109"/>
        <w:gridCol w:w="109"/>
        <w:gridCol w:w="389"/>
        <w:gridCol w:w="389"/>
        <w:gridCol w:w="393"/>
        <w:gridCol w:w="109"/>
        <w:gridCol w:w="109"/>
        <w:gridCol w:w="109"/>
        <w:gridCol w:w="456"/>
        <w:gridCol w:w="456"/>
        <w:gridCol w:w="648"/>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001-03761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75-0289970</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w:t>
              <w:br/>
              <w:t>identification no.)</w:t>
            </w:r>
          </w:p>
        </w:tc>
      </w:tr>
    </w:tbl>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12500 TI Boulevard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Dallas, Texas 75243</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(Address of principal executive offices)</w:t>
      </w:r>
    </w:p>
    <w:p>
      <w:pPr>
        <w:pStyle w:val="TextBody"/>
        <w:bidi w:val="0"/>
        <w:spacing w:lineRule="auto" w:line="288" w:before="240" w:after="283"/>
        <w:jc w:val="center"/>
        <w:rPr>
          <w:rFonts w:ascii="Arial;sans-serif" w:hAnsi="Arial;sans-serif"/>
          <w:b/>
          <w:color w:val="000000"/>
          <w:sz w:val="16"/>
        </w:rPr>
      </w:pPr>
      <w:r>
        <w:rPr>
          <w:rFonts w:ascii="Arial;sans-serif" w:hAnsi="Arial;sans-serif"/>
          <w:b/>
          <w:color w:val="000000"/>
          <w:sz w:val="16"/>
        </w:rPr>
        <w:t>Registrant’s telephone number, including area code: (214) 479-3773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120" w:after="60"/>
        <w:jc w:val="left"/>
        <w:rPr>
          <w:rFonts w:ascii="Arial;sans-serif" w:hAnsi="Arial;sans-serif"/>
          <w:b w:val="false"/>
          <w:color w:val="000000"/>
          <w:sz w:val="20"/>
        </w:rPr>
      </w:pPr>
      <w:r>
        <w:rPr>
          <w:rFonts w:ascii="Arial;sans-serif" w:hAnsi="Arial;sans-serif"/>
          <w:b w:val="false"/>
          <w:color w:val="000000"/>
          <w:sz w:val="20"/>
        </w:rPr>
        <w:t>Check the appropriate box below if the Form 8-K is intended to simultaneously satisfy the filing obligation of the registrant under any of the following provisions:</w:t>
      </w:r>
    </w:p>
    <w:tbl>
      <w:tblPr>
        <w:tblW w:w="8202" w:type="dxa"/>
        <w:jc w:val="left"/>
        <w:tblInd w:w="0" w:type="dxa"/>
        <w:tblLayout w:type="fixed"/>
        <w:tblCellMar>
          <w:top w:w="28" w:type="dxa"/>
          <w:left w:w="28" w:type="dxa"/>
          <w:bottom w:w="28" w:type="dxa"/>
          <w:right w:w="28" w:type="dxa"/>
        </w:tblCellMar>
      </w:tblPr>
      <w:tblGrid>
        <w:gridCol w:w="124"/>
        <w:gridCol w:w="109"/>
        <w:gridCol w:w="109"/>
        <w:gridCol w:w="2299"/>
        <w:gridCol w:w="2299"/>
        <w:gridCol w:w="32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32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Written communications pursuant to Rule 425 under the Securities Act (17 CFR 230.425)</w:t>
            </w:r>
          </w:p>
        </w:tc>
      </w:tr>
    </w:tbl>
    <w:tbl>
      <w:tblPr>
        <w:tblW w:w="8186" w:type="dxa"/>
        <w:jc w:val="left"/>
        <w:tblInd w:w="0" w:type="dxa"/>
        <w:tblLayout w:type="fixed"/>
        <w:tblCellMar>
          <w:top w:w="28" w:type="dxa"/>
          <w:left w:w="28" w:type="dxa"/>
          <w:bottom w:w="28" w:type="dxa"/>
          <w:right w:w="28" w:type="dxa"/>
        </w:tblCellMar>
      </w:tblPr>
      <w:tblGrid>
        <w:gridCol w:w="124"/>
        <w:gridCol w:w="109"/>
        <w:gridCol w:w="109"/>
        <w:gridCol w:w="2297"/>
        <w:gridCol w:w="2297"/>
        <w:gridCol w:w="32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32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Soliciting material pursuant to Rule 14a-12 under the Exchange Act (17 CFR 240.14a-12)</w:t>
            </w:r>
          </w:p>
        </w:tc>
      </w:tr>
    </w:tbl>
    <w:tbl>
      <w:tblPr>
        <w:tblW w:w="10122" w:type="dxa"/>
        <w:jc w:val="left"/>
        <w:tblInd w:w="0" w:type="dxa"/>
        <w:tblLayout w:type="fixed"/>
        <w:tblCellMar>
          <w:top w:w="28" w:type="dxa"/>
          <w:left w:w="28" w:type="dxa"/>
          <w:bottom w:w="28" w:type="dxa"/>
          <w:right w:w="28" w:type="dxa"/>
        </w:tblCellMar>
      </w:tblPr>
      <w:tblGrid>
        <w:gridCol w:w="124"/>
        <w:gridCol w:w="109"/>
        <w:gridCol w:w="109"/>
        <w:gridCol w:w="2863"/>
        <w:gridCol w:w="2863"/>
        <w:gridCol w:w="40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40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Pre-commencement communications pursuant to Rule 14d-2(b) under the Exchange Act (17 CFR 240.14d-2(b))</w:t>
            </w:r>
          </w:p>
        </w:tc>
      </w:tr>
    </w:tbl>
    <w:tbl>
      <w:tblPr>
        <w:tblW w:w="10122" w:type="dxa"/>
        <w:jc w:val="left"/>
        <w:tblInd w:w="0" w:type="dxa"/>
        <w:tblLayout w:type="fixed"/>
        <w:tblCellMar>
          <w:top w:w="28" w:type="dxa"/>
          <w:left w:w="28" w:type="dxa"/>
          <w:bottom w:w="28" w:type="dxa"/>
          <w:right w:w="28" w:type="dxa"/>
        </w:tblCellMar>
      </w:tblPr>
      <w:tblGrid>
        <w:gridCol w:w="124"/>
        <w:gridCol w:w="109"/>
        <w:gridCol w:w="109"/>
        <w:gridCol w:w="2863"/>
        <w:gridCol w:w="2863"/>
        <w:gridCol w:w="40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40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Pre-commencement communications pursuant to Rule 13e-4(c) under the Exchange Act (17 CFR 240.13e-4(c))</w:t>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p>
      <w:pPr>
        <w:pStyle w:val="TextBody"/>
        <w:bidi w:val="0"/>
        <w:spacing w:lineRule="auto" w:line="288" w:before="0" w:after="0"/>
        <w:jc w:val="left"/>
        <w:rPr>
          <w:color w:val="000000"/>
        </w:rPr>
      </w:pPr>
      <w:r>
        <w:rPr>
          <w:color w:val="000000"/>
        </w:rPr>
        <w:t> </w:t>
      </w:r>
    </w:p>
    <w:tbl>
      <w:tblPr>
        <w:tblW w:w="9036" w:type="dxa"/>
        <w:jc w:val="left"/>
        <w:tblInd w:w="0" w:type="dxa"/>
        <w:tblLayout w:type="fixed"/>
        <w:tblCellMar>
          <w:top w:w="28" w:type="dxa"/>
          <w:left w:w="28" w:type="dxa"/>
          <w:bottom w:w="28" w:type="dxa"/>
          <w:right w:w="28" w:type="dxa"/>
        </w:tblCellMar>
      </w:tblPr>
      <w:tblGrid>
        <w:gridCol w:w="1110"/>
        <w:gridCol w:w="977"/>
        <w:gridCol w:w="987"/>
        <w:gridCol w:w="109"/>
        <w:gridCol w:w="109"/>
        <w:gridCol w:w="109"/>
        <w:gridCol w:w="349"/>
        <w:gridCol w:w="349"/>
        <w:gridCol w:w="351"/>
        <w:gridCol w:w="109"/>
        <w:gridCol w:w="109"/>
        <w:gridCol w:w="109"/>
        <w:gridCol w:w="1245"/>
        <w:gridCol w:w="1245"/>
        <w:gridCol w:w="1769"/>
      </w:tblGrid>
      <w:tr>
        <w:trPr/>
        <w:tc>
          <w:tcPr>
            <w:tcW w:w="1110"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Name of each exchange on which registered</w:t>
            </w:r>
          </w:p>
        </w:tc>
      </w:tr>
      <w:tr>
        <w:trPr/>
        <w:tc>
          <w:tcPr>
            <w:tcW w:w="30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 par value $1.00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TXN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The Nasdaq Global Select Market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Emerging growth company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ITEM 2.02.  Results of Operations and Financial Condition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Registrant’s news release dated July 22, 2026, regarding its second-quarter results of operations and financial condition is attached hereto as Exhibit 99.</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potentially available to return to shareholders, as well as insight into its financial performance. These non-GAAP measures are supplemental to the comparable GAAP measures. Reconciliation to the most directly comparable GAAP measures is included in the “Non-GAAP financial information” section of the news release.</w:t>
      </w:r>
    </w:p>
    <w:p>
      <w:pPr>
        <w:pStyle w:val="TextBody"/>
        <w:bidi w:val="0"/>
        <w:spacing w:lineRule="auto" w:line="288" w:before="360" w:after="283"/>
        <w:jc w:val="left"/>
        <w:rPr>
          <w:rFonts w:ascii="Arial;sans-serif" w:hAnsi="Arial;sans-serif"/>
          <w:b w:val="false"/>
          <w:color w:val="000000"/>
          <w:sz w:val="20"/>
        </w:rPr>
      </w:pPr>
      <w:r>
        <w:rPr>
          <w:rFonts w:ascii="Arial;sans-serif" w:hAnsi="Arial;sans-serif"/>
          <w:b w:val="false"/>
          <w:color w:val="000000"/>
          <w:sz w:val="20"/>
        </w:rPr>
        <w:t>ITEM 9.01. Exhibits</w:t>
      </w:r>
    </w:p>
    <w:tbl>
      <w:tblPr>
        <w:tblW w:w="8262" w:type="dxa"/>
        <w:jc w:val="left"/>
        <w:tblInd w:w="0" w:type="dxa"/>
        <w:tblLayout w:type="fixed"/>
        <w:tblCellMar>
          <w:top w:w="28" w:type="dxa"/>
          <w:left w:w="28" w:type="dxa"/>
          <w:bottom w:w="28" w:type="dxa"/>
          <w:right w:w="28" w:type="dxa"/>
        </w:tblCellMar>
      </w:tblPr>
      <w:tblGrid>
        <w:gridCol w:w="353"/>
        <w:gridCol w:w="311"/>
        <w:gridCol w:w="312"/>
        <w:gridCol w:w="109"/>
        <w:gridCol w:w="109"/>
        <w:gridCol w:w="109"/>
        <w:gridCol w:w="2029"/>
        <w:gridCol w:w="2029"/>
        <w:gridCol w:w="2901"/>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901"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Designation</w:t>
              <w:br/>
              <w:t>of Exhibit</w:t>
              <w:br/>
              <w:t>in this</w:t>
              <w:br/>
              <w:t>Report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Description of Exhibit</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txnex99-eredgar.htm">
              <w:r>
                <w:rPr>
                  <w:rStyle w:val="InternetLink"/>
                  <w:rFonts w:ascii="Arial;sans-serif" w:hAnsi="Arial;sans-serif"/>
                  <w:b w:val="false"/>
                  <w:color w:val="0000FF"/>
                  <w:sz w:val="20"/>
                  <w:u w:val="single"/>
                </w:rPr>
                <w:t>Registrant’s News Release</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Dated July 22, 2026 (furnished pursuant to Item 2.02)</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027" w:type="dxa"/>
        <w:jc w:val="left"/>
        <w:tblInd w:w="0" w:type="dxa"/>
        <w:tblLayout w:type="fixed"/>
        <w:tblCellMar>
          <w:top w:w="28" w:type="dxa"/>
          <w:left w:w="28" w:type="dxa"/>
          <w:bottom w:w="28" w:type="dxa"/>
          <w:right w:w="28" w:type="dxa"/>
        </w:tblCellMar>
      </w:tblPr>
      <w:tblGrid>
        <w:gridCol w:w="656"/>
        <w:gridCol w:w="576"/>
        <w:gridCol w:w="582"/>
        <w:gridCol w:w="109"/>
        <w:gridCol w:w="109"/>
        <w:gridCol w:w="109"/>
        <w:gridCol w:w="412"/>
        <w:gridCol w:w="412"/>
        <w:gridCol w:w="412"/>
        <w:gridCol w:w="412"/>
        <w:gridCol w:w="412"/>
        <w:gridCol w:w="412"/>
        <w:gridCol w:w="699"/>
        <w:gridCol w:w="699"/>
        <w:gridCol w:w="1016"/>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8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TEXAS INSTRUMENTS INCORPORATED</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July 22,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Rafael R. Lizardi</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Rafael R. Lizardi</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and</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4.8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TI reports second quarter 2026 financial results and shareholder returns</w:t>
      </w:r>
    </w:p>
    <w:p>
      <w:pPr>
        <w:pStyle w:val="TextBody"/>
        <w:bidi w:val="0"/>
        <w:spacing w:lineRule="auto" w:line="288" w:before="240" w:after="283"/>
        <w:jc w:val="center"/>
        <w:rPr/>
      </w:pPr>
      <w:r>
        <w:rPr>
          <w:rFonts w:ascii="Arial;sans-serif" w:hAnsi="Arial;sans-serif"/>
          <w:b w:val="false"/>
          <w:color w:val="000000"/>
          <w:sz w:val="20"/>
        </w:rPr>
        <w:t xml:space="preserve">Conference call at 3:30 p.m. Central time today on </w:t>
      </w:r>
      <w:r>
        <w:rPr>
          <w:rFonts w:ascii="Arial;sans-serif" w:hAnsi="Arial;sans-serif"/>
          <w:b w:val="false"/>
          <w:color w:val="0E32E1"/>
          <w:sz w:val="20"/>
          <w:u w:val="single"/>
        </w:rPr>
        <w:t>ti.com/ir</w:t>
      </w:r>
      <w:r>
        <w:rPr>
          <w:color w:val="000000"/>
        </w:rPr>
        <w:t xml:space="preserve"> </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DALLAS (July 22, 2026) – Texas Instruments Incorporated (TI) (Nasdaq: TXN) today reported second quarter revenue of $5.46 billion, net income of $1.98 billion and earnings per share of $2.14. Earnings per share included a 5-cent benefit that was not in the company's original guidance.</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Regarding the company's performance and returns to shareholders, Haviv Ilan, TI's chairman, president and CEO, made the following comments:</w:t>
      </w:r>
    </w:p>
    <w:p>
      <w:pPr>
        <w:pStyle w:val="TextBody"/>
        <w:bidi w:val="0"/>
        <w:spacing w:lineRule="auto" w:line="288" w:before="240" w:after="240"/>
        <w:ind w:left="0" w:right="0" w:hanging="360"/>
        <w:jc w:val="left"/>
        <w:rPr/>
      </w:pPr>
      <w:r>
        <w:rPr>
          <w:color w:val="000000"/>
        </w:rPr>
        <w:t>•</w:t>
      </w:r>
      <w:r>
        <w:rPr>
          <w:rFonts w:ascii="Arial;sans-serif" w:hAnsi="Arial;sans-serif"/>
          <w:b w:val="false"/>
          <w:color w:val="000000"/>
          <w:sz w:val="20"/>
        </w:rPr>
        <w:t>"Revenue increased 13% sequentially and 23% from the same quarter a year ago with broad growth led by industrial, data center and automotive.</w:t>
      </w:r>
    </w:p>
    <w:p>
      <w:pPr>
        <w:pStyle w:val="TextBody"/>
        <w:bidi w:val="0"/>
        <w:spacing w:lineRule="auto" w:line="288" w:before="240" w:after="240"/>
        <w:ind w:left="0" w:right="0" w:hanging="360"/>
        <w:jc w:val="left"/>
        <w:rPr/>
      </w:pPr>
      <w:r>
        <w:rPr>
          <w:color w:val="000000"/>
        </w:rPr>
        <w:t>•</w:t>
      </w:r>
      <w:r>
        <w:rPr>
          <w:rFonts w:ascii="Arial;sans-serif" w:hAnsi="Arial;sans-serif"/>
          <w:b w:val="false"/>
          <w:color w:val="000000"/>
          <w:sz w:val="20"/>
        </w:rPr>
        <w:t>"Our cash flow from operations of $8.7 billion for the trailing 12 months again underscored the strength of our business model, the quality of our product portfolio and the benefit of 300mm production. Free cash flow for the same period was $6.5 billion.</w:t>
      </w:r>
    </w:p>
    <w:p>
      <w:pPr>
        <w:pStyle w:val="TextBody"/>
        <w:bidi w:val="0"/>
        <w:spacing w:lineRule="auto" w:line="288" w:before="240" w:after="240"/>
        <w:ind w:left="0" w:right="0" w:hanging="360"/>
        <w:jc w:val="left"/>
        <w:rPr/>
      </w:pPr>
      <w:r>
        <w:rPr>
          <w:color w:val="000000"/>
        </w:rPr>
        <w:t>•</w:t>
      </w:r>
      <w:r>
        <w:rPr>
          <w:rFonts w:ascii="Arial;sans-serif" w:hAnsi="Arial;sans-serif"/>
          <w:b w:val="false"/>
          <w:color w:val="000000"/>
          <w:sz w:val="20"/>
        </w:rPr>
        <w:t>"Over the past 12 months we invested $3.9 billion in R&amp;D and SG&amp;A, invested $3.3 billion in capital expenditures and returned $5.8 billion to owners.</w:t>
      </w:r>
    </w:p>
    <w:p>
      <w:pPr>
        <w:pStyle w:val="TextBody"/>
        <w:bidi w:val="0"/>
        <w:spacing w:lineRule="auto" w:line="288" w:before="240" w:after="240"/>
        <w:ind w:left="0" w:right="0" w:hanging="360"/>
        <w:jc w:val="left"/>
        <w:rPr/>
      </w:pPr>
      <w:r>
        <w:rPr>
          <w:color w:val="000000"/>
        </w:rPr>
        <w:t>•</w:t>
      </w:r>
      <w:r>
        <w:rPr>
          <w:rFonts w:ascii="Arial;sans-serif" w:hAnsi="Arial;sans-serif"/>
          <w:b w:val="false"/>
          <w:color w:val="000000"/>
          <w:sz w:val="20"/>
        </w:rPr>
        <w:t>"TI's third quarter outlook is for revenue in the range of $5.65 billion to $6.15 billion and earnings per share between $2.23 and $2.57."</w:t>
      </w:r>
    </w:p>
    <w:p>
      <w:pPr>
        <w:pStyle w:val="TextBody"/>
        <w:bidi w:val="0"/>
        <w:spacing w:before="24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7660"/>
                <wp:effectExtent l="0" t="0" r="0" b="0"/>
                <wp:wrapNone/>
                <wp:docPr id="4" name="Frame4"/>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jc w:val="right"/>
                              <w:rPr/>
                            </w:pPr>
                            <w:r>
                              <w:rPr>
                                <w:rFonts w:ascii="Arial;sans-serif" w:hAnsi="Arial;sans-serif"/>
                                <w:b w:val="false"/>
                                <w:color w:val="000000"/>
                                <w:sz w:val="20"/>
                              </w:rPr>
                              <w:t>1</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right"/>
                        <w:rPr/>
                      </w:pPr>
                      <w:r>
                        <w:rPr>
                          <w:rFonts w:ascii="Arial;sans-serif" w:hAnsi="Arial;sans-serif"/>
                          <w:b w:val="false"/>
                          <w:color w:val="000000"/>
                          <w:sz w:val="20"/>
                        </w:rPr>
                        <w:t>1</w:t>
                      </w: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Free cash flow, a non-GAAP financial measure, is cash flow from operations less capital expenditures, plus proceeds from U.S. CHIPS and Science Act (CHIPS Act) incentives.</w:t>
      </w:r>
    </w:p>
    <w:p>
      <w:pPr>
        <w:pStyle w:val="TextBody"/>
        <w:bidi w:val="0"/>
        <w:spacing w:lineRule="auto" w:line="288" w:before="360" w:after="283"/>
        <w:jc w:val="left"/>
        <w:rPr>
          <w:rFonts w:ascii="Arial;sans-serif" w:hAnsi="Arial;sans-serif"/>
          <w:b/>
          <w:color w:val="000000"/>
          <w:sz w:val="20"/>
          <w:u w:val="single"/>
        </w:rPr>
      </w:pPr>
      <w:r>
        <w:rPr>
          <w:rFonts w:ascii="Arial;sans-serif" w:hAnsi="Arial;sans-serif"/>
          <w:b/>
          <w:color w:val="000000"/>
          <w:sz w:val="20"/>
          <w:u w:val="single"/>
        </w:rPr>
        <w:t>Earnings summary</w:t>
      </w:r>
    </w:p>
    <w:tbl>
      <w:tblPr>
        <w:tblW w:w="6960" w:type="dxa"/>
        <w:jc w:val="left"/>
        <w:tblInd w:w="0" w:type="dxa"/>
        <w:tblLayout w:type="fixed"/>
        <w:tblCellMar>
          <w:top w:w="28" w:type="dxa"/>
          <w:left w:w="28" w:type="dxa"/>
          <w:bottom w:w="28" w:type="dxa"/>
          <w:right w:w="28" w:type="dxa"/>
        </w:tblCellMar>
      </w:tblPr>
      <w:tblGrid>
        <w:gridCol w:w="1270"/>
        <w:gridCol w:w="1116"/>
        <w:gridCol w:w="1123"/>
        <w:gridCol w:w="211"/>
        <w:gridCol w:w="646"/>
        <w:gridCol w:w="109"/>
        <w:gridCol w:w="109"/>
        <w:gridCol w:w="109"/>
        <w:gridCol w:w="109"/>
        <w:gridCol w:w="211"/>
        <w:gridCol w:w="646"/>
        <w:gridCol w:w="109"/>
        <w:gridCol w:w="109"/>
        <w:gridCol w:w="109"/>
        <w:gridCol w:w="109"/>
        <w:gridCol w:w="188"/>
        <w:gridCol w:w="188"/>
        <w:gridCol w:w="489"/>
      </w:tblGrid>
      <w:tr>
        <w:trPr/>
        <w:tc>
          <w:tcPr>
            <w:tcW w:w="127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millions, except per-share amounts)</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Q2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Change</w:t>
            </w:r>
          </w:p>
        </w:tc>
      </w:tr>
      <w:tr>
        <w:trPr/>
        <w:tc>
          <w:tcPr>
            <w:tcW w:w="35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5,463 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4,448 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48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48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360" w:after="283"/>
        <w:jc w:val="left"/>
        <w:rPr>
          <w:rFonts w:ascii="Arial;sans-serif" w:hAnsi="Arial;sans-serif"/>
          <w:b/>
          <w:color w:val="000000"/>
          <w:sz w:val="20"/>
          <w:u w:val="single"/>
        </w:rPr>
      </w:pPr>
      <w:r>
        <w:rPr>
          <w:rFonts w:ascii="Arial;sans-serif" w:hAnsi="Arial;sans-serif"/>
          <w:b/>
          <w:color w:val="000000"/>
          <w:sz w:val="20"/>
          <w:u w:val="single"/>
        </w:rPr>
        <w:t>Cash generation</w:t>
      </w:r>
    </w:p>
    <w:tbl>
      <w:tblPr>
        <w:tblW w:w="7812" w:type="dxa"/>
        <w:jc w:val="left"/>
        <w:tblInd w:w="0" w:type="dxa"/>
        <w:tblLayout w:type="fixed"/>
        <w:tblCellMar>
          <w:top w:w="28" w:type="dxa"/>
          <w:left w:w="28" w:type="dxa"/>
          <w:bottom w:w="28" w:type="dxa"/>
          <w:right w:w="28" w:type="dxa"/>
        </w:tblCellMar>
      </w:tblPr>
      <w:tblGrid>
        <w:gridCol w:w="946"/>
        <w:gridCol w:w="828"/>
        <w:gridCol w:w="835"/>
        <w:gridCol w:w="211"/>
        <w:gridCol w:w="646"/>
        <w:gridCol w:w="109"/>
        <w:gridCol w:w="109"/>
        <w:gridCol w:w="109"/>
        <w:gridCol w:w="109"/>
        <w:gridCol w:w="211"/>
        <w:gridCol w:w="646"/>
        <w:gridCol w:w="286"/>
        <w:gridCol w:w="109"/>
        <w:gridCol w:w="109"/>
        <w:gridCol w:w="109"/>
        <w:gridCol w:w="211"/>
        <w:gridCol w:w="646"/>
        <w:gridCol w:w="286"/>
        <w:gridCol w:w="109"/>
        <w:gridCol w:w="109"/>
        <w:gridCol w:w="109"/>
        <w:gridCol w:w="240"/>
        <w:gridCol w:w="241"/>
        <w:gridCol w:w="489"/>
      </w:tblGrid>
      <w:tr>
        <w:trPr/>
        <w:tc>
          <w:tcPr>
            <w:tcW w:w="94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Trailing 12 Months</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millions)</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Q2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Q2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Q2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Change</w:t>
            </w:r>
          </w:p>
        </w:tc>
      </w:tr>
      <w:tr>
        <w:trPr/>
        <w:tc>
          <w:tcPr>
            <w:tcW w:w="26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 from operations</w:t>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2,703 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8,667 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6,439 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48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6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 % of revenue</w:t>
            </w:r>
          </w:p>
        </w:tc>
        <w:tc>
          <w:tcPr>
            <w:tcW w:w="9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lineRule="auto" w:line="288" w:before="360" w:after="283"/>
        <w:jc w:val="left"/>
        <w:rPr>
          <w:rFonts w:ascii="Arial;sans-serif" w:hAnsi="Arial;sans-serif"/>
          <w:b/>
          <w:color w:val="000000"/>
          <w:sz w:val="20"/>
          <w:u w:val="single"/>
        </w:rPr>
      </w:pPr>
      <w:r>
        <w:rPr>
          <w:rFonts w:ascii="Arial;sans-serif" w:hAnsi="Arial;sans-serif"/>
          <w:b/>
          <w:color w:val="000000"/>
          <w:sz w:val="20"/>
          <w:u w:val="single"/>
        </w:rPr>
        <w:t>Cash return</w:t>
      </w:r>
    </w:p>
    <w:tbl>
      <w:tblPr>
        <w:tblW w:w="6604" w:type="dxa"/>
        <w:jc w:val="left"/>
        <w:tblInd w:w="0" w:type="dxa"/>
        <w:tblLayout w:type="fixed"/>
        <w:tblCellMar>
          <w:top w:w="28" w:type="dxa"/>
          <w:left w:w="28" w:type="dxa"/>
          <w:bottom w:w="28" w:type="dxa"/>
          <w:right w:w="28" w:type="dxa"/>
        </w:tblCellMar>
      </w:tblPr>
      <w:tblGrid>
        <w:gridCol w:w="654"/>
        <w:gridCol w:w="570"/>
        <w:gridCol w:w="576"/>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8"/>
        <w:gridCol w:w="218"/>
        <w:gridCol w:w="489"/>
      </w:tblGrid>
      <w:tr>
        <w:trPr/>
        <w:tc>
          <w:tcPr>
            <w:tcW w:w="654"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Trailing 12 Months</w:t>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millions)</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Q2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Q2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Q2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Change</w:t>
            </w:r>
          </w:p>
        </w:tc>
      </w:tr>
      <w:tr>
        <w:trPr/>
        <w:tc>
          <w:tcPr>
            <w:tcW w:w="18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paid</w:t>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1,295 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5,112 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4,900 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48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repurchases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8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returned</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48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7660"/>
                <wp:effectExtent l="0" t="0" r="0" b="0"/>
                <wp:wrapNone/>
                <wp:docPr id="5" name="Frame5"/>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jc w:val="right"/>
                              <w:rPr/>
                            </w:pPr>
                            <w:r>
                              <w:rPr>
                                <w:rFonts w:ascii="Arial;sans-serif" w:hAnsi="Arial;sans-serif"/>
                                <w:b w:val="false"/>
                                <w:color w:val="000000"/>
                                <w:sz w:val="20"/>
                              </w:rPr>
                              <w:t>2</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right"/>
                        <w:rPr/>
                      </w:pPr>
                      <w:r>
                        <w:rPr>
                          <w:rFonts w:ascii="Arial;sans-serif" w:hAnsi="Arial;sans-serif"/>
                          <w:b w:val="false"/>
                          <w:color w:val="000000"/>
                          <w:sz w:val="20"/>
                        </w:rPr>
                        <w:t>2</w:t>
                      </w:r>
                      <w:r>
                        <w:rPr>
                          <w:color w:val="000000"/>
                        </w:rPr>
                        <w:t>    </w:t>
                      </w:r>
                    </w:p>
                  </w:txbxContent>
                </v:textbox>
                <w10:wrap type="none"/>
              </v:rect>
            </w:pict>
          </mc:Fallback>
        </mc:AlternateContent>
      </w:r>
    </w:p>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TEXAS INSTRUMENTS INCORPORATED AND SUBSIDIARIES</w:t>
      </w:r>
    </w:p>
    <w:tbl>
      <w:tblPr>
        <w:tblW w:w="10205" w:type="dxa"/>
        <w:jc w:val="center"/>
        <w:tblInd w:w="0" w:type="dxa"/>
        <w:tblLayout w:type="fixed"/>
        <w:tblCellMar>
          <w:top w:w="28" w:type="dxa"/>
          <w:left w:w="28" w:type="dxa"/>
          <w:bottom w:w="28" w:type="dxa"/>
          <w:right w:w="28" w:type="dxa"/>
        </w:tblCellMar>
      </w:tblPr>
      <w:tblGrid>
        <w:gridCol w:w="2380"/>
        <w:gridCol w:w="2092"/>
        <w:gridCol w:w="2104"/>
        <w:gridCol w:w="144"/>
        <w:gridCol w:w="144"/>
        <w:gridCol w:w="144"/>
        <w:gridCol w:w="292"/>
        <w:gridCol w:w="897"/>
        <w:gridCol w:w="150"/>
        <w:gridCol w:w="150"/>
        <w:gridCol w:w="150"/>
        <w:gridCol w:w="150"/>
        <w:gridCol w:w="292"/>
        <w:gridCol w:w="897"/>
        <w:gridCol w:w="219"/>
      </w:tblGrid>
      <w:tr>
        <w:trPr/>
        <w:tc>
          <w:tcPr>
            <w:tcW w:w="2380"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6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Consolidated Statements of Income</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Three Months Ended</w:t>
              <w:br/>
              <w:t>June 30,</w:t>
            </w:r>
          </w:p>
        </w:tc>
      </w:tr>
      <w:tr>
        <w:trPr/>
        <w:tc>
          <w:tcPr>
            <w:tcW w:w="65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 millions, except per-share amounts)</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6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5,463</w:t>
            </w:r>
            <w:r>
              <w:rPr>
                <w:color w:val="000000"/>
              </w:rPr>
              <w:t> </w:t>
            </w:r>
          </w:p>
        </w:tc>
        <w:tc>
          <w:tcPr>
            <w:tcW w:w="15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4,448 </w:t>
            </w:r>
          </w:p>
        </w:tc>
        <w:tc>
          <w:tcPr>
            <w:tcW w:w="21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 (COR)</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2,111</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3,352</w:t>
            </w:r>
            <w:r>
              <w:rPr>
                <w:color w:val="000000"/>
              </w:rPr>
              <w:t> </w:t>
            </w:r>
          </w:p>
        </w:tc>
        <w:tc>
          <w:tcPr>
            <w:tcW w:w="15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2,575 </w:t>
            </w:r>
          </w:p>
        </w:tc>
        <w:tc>
          <w:tcPr>
            <w:tcW w:w="21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(R&amp;D)</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535</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(SG&amp;A)</w:t>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490</w:t>
            </w:r>
            <w:r>
              <w:rPr>
                <w:color w:val="000000"/>
              </w:rPr>
              <w:t>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485 </w:t>
            </w:r>
          </w:p>
        </w:tc>
        <w:tc>
          <w:tcPr>
            <w:tcW w:w="2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charges</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r>
      <w:tr>
        <w:trPr/>
        <w:tc>
          <w:tcPr>
            <w:tcW w:w="6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2,310</w:t>
            </w:r>
            <w:r>
              <w:rPr>
                <w:color w:val="000000"/>
              </w:rPr>
              <w:t> </w:t>
            </w:r>
          </w:p>
        </w:tc>
        <w:tc>
          <w:tcPr>
            <w:tcW w:w="15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1,563 </w:t>
            </w:r>
          </w:p>
        </w:tc>
        <w:tc>
          <w:tcPr>
            <w:tcW w:w="21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 (OI&amp;E)</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debt expense</w:t>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141</w:t>
            </w:r>
            <w:r>
              <w:rPr>
                <w:color w:val="000000"/>
              </w:rPr>
              <w:t>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2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2,238</w:t>
            </w:r>
            <w:r>
              <w:rPr>
                <w:color w:val="000000"/>
              </w:rPr>
              <w:t>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1,478 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258</w:t>
            </w:r>
            <w:r>
              <w:rPr>
                <w:color w:val="000000"/>
              </w:rPr>
              <w:t>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2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1,980</w:t>
            </w:r>
            <w:r>
              <w:rPr>
                <w:color w:val="000000"/>
              </w:rPr>
              <w:t>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1,295 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common share</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2.14</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shares outstanding:</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912</w:t>
            </w:r>
            <w:r>
              <w:rPr>
                <w:color w:val="000000"/>
              </w:rPr>
              <w:t>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908 </w:t>
            </w:r>
          </w:p>
        </w:tc>
        <w:tc>
          <w:tcPr>
            <w:tcW w:w="2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920</w:t>
            </w:r>
            <w:r>
              <w:rPr>
                <w:color w:val="000000"/>
              </w:rPr>
              <w:t> </w:t>
            </w:r>
          </w:p>
        </w:tc>
        <w:tc>
          <w:tcPr>
            <w:tcW w:w="15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912 </w:t>
            </w:r>
          </w:p>
        </w:tc>
        <w:tc>
          <w:tcPr>
            <w:tcW w:w="21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dividends declared per common share</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1.42</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Supplemental Information</w:t>
              <w:br/>
              <w:t>(Quarterly, except as noted)</w:t>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vAlign w:val="center"/>
          </w:tcPr>
          <w:p>
            <w:pPr>
              <w:pStyle w:val="TableContents"/>
              <w:bidi w:val="0"/>
              <w:spacing w:before="0" w:after="283"/>
              <w:jc w:val="left"/>
              <w:rPr>
                <w:sz w:val="4"/>
                <w:szCs w:val="4"/>
              </w:rPr>
            </w:pPr>
            <w:r>
              <w:rPr>
                <w:sz w:val="4"/>
                <w:szCs w:val="4"/>
              </w:rPr>
            </w:r>
          </w:p>
        </w:tc>
        <w:tc>
          <w:tcPr>
            <w:tcW w:w="3629" w:type="dxa"/>
            <w:gridSpan w:val="12"/>
            <w:tcBorders/>
          </w:tcPr>
          <w:p>
            <w:pPr>
              <w:pStyle w:val="TableContents"/>
              <w:bidi w:val="0"/>
              <w:spacing w:before="0" w:after="283"/>
              <w:jc w:val="left"/>
              <w:rPr>
                <w:sz w:val="4"/>
                <w:szCs w:val="4"/>
              </w:rPr>
            </w:pPr>
            <w:r>
              <w:rPr>
                <w:sz w:val="4"/>
                <w:szCs w:val="4"/>
              </w:rPr>
            </w:r>
          </w:p>
        </w:tc>
      </w:tr>
      <w:tr>
        <w:trPr/>
        <w:tc>
          <w:tcPr>
            <w:tcW w:w="657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1858" w:type="dxa"/>
            <w:gridSpan w:val="6"/>
            <w:tcBorders/>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 is based on the following:</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57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r>
      <w:tr>
        <w:trPr/>
        <w:tc>
          <w:tcPr>
            <w:tcW w:w="6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taxes (calculated using the estimated annual effective tax rate)</w:t>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309</w:t>
            </w:r>
            <w:r>
              <w:rPr>
                <w:color w:val="000000"/>
              </w:rPr>
              <w:t>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199 </w:t>
            </w:r>
          </w:p>
        </w:tc>
        <w:tc>
          <w:tcPr>
            <w:tcW w:w="2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Discrete tax items</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 (effective taxes)</w:t>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258</w:t>
            </w:r>
            <w:r>
              <w:rPr>
                <w:color w:val="000000"/>
              </w:rPr>
              <w:t> </w:t>
            </w:r>
          </w:p>
        </w:tc>
        <w:tc>
          <w:tcPr>
            <w:tcW w:w="15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21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r>
      <w:tr>
        <w:trPr/>
        <w:tc>
          <w:tcPr>
            <w:tcW w:w="657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r>
      <w:tr>
        <w:trPr/>
        <w:tc>
          <w:tcPr>
            <w:tcW w:w="657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 portion of net income is allocated to unvested restricted stock units (RSUs) on which we pay dividend equivalents. Diluted EPS is calculated using the following:</w:t>
            </w:r>
          </w:p>
        </w:tc>
      </w:tr>
      <w:tr>
        <w:trPr/>
        <w:tc>
          <w:tcPr>
            <w:tcW w:w="657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r>
      <w:tr>
        <w:trPr/>
        <w:tc>
          <w:tcPr>
            <w:tcW w:w="6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1,980</w:t>
            </w:r>
            <w:r>
              <w:rPr>
                <w:color w:val="000000"/>
              </w:rPr>
              <w:t>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1,295 </w:t>
            </w:r>
          </w:p>
        </w:tc>
        <w:tc>
          <w:tcPr>
            <w:tcW w:w="2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allocated to RSUs</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allocated to common stock for diluted EPS</w:t>
            </w:r>
          </w:p>
        </w:tc>
        <w:tc>
          <w:tcPr>
            <w:tcW w:w="4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1,969</w:t>
            </w:r>
            <w:r>
              <w:rPr>
                <w:color w:val="000000"/>
              </w:rPr>
              <w:t> </w:t>
            </w:r>
          </w:p>
        </w:tc>
        <w:tc>
          <w:tcPr>
            <w:tcW w:w="150"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1,288 </w:t>
            </w:r>
          </w:p>
        </w:tc>
        <w:tc>
          <w:tcPr>
            <w:tcW w:w="21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7660"/>
                <wp:effectExtent l="0" t="0" r="0" b="0"/>
                <wp:wrapNone/>
                <wp:docPr id="6" name="Frame6"/>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jc w:val="right"/>
                              <w:rPr/>
                            </w:pPr>
                            <w:r>
                              <w:rPr>
                                <w:rFonts w:ascii="Arial;sans-serif" w:hAnsi="Arial;sans-serif"/>
                                <w:b w:val="false"/>
                                <w:color w:val="000000"/>
                                <w:sz w:val="20"/>
                              </w:rPr>
                              <w:t>3</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right"/>
                        <w:rPr/>
                      </w:pPr>
                      <w:r>
                        <w:rPr>
                          <w:rFonts w:ascii="Arial;sans-serif" w:hAnsi="Arial;sans-serif"/>
                          <w:b w:val="false"/>
                          <w:color w:val="000000"/>
                          <w:sz w:val="20"/>
                        </w:rPr>
                        <w:t>3</w:t>
                      </w:r>
                      <w:r>
                        <w:rPr>
                          <w:color w:val="000000"/>
                        </w:rPr>
                        <w:t>    </w:t>
                      </w:r>
                    </w:p>
                  </w:txbxContent>
                </v:textbox>
                <w10:wrap type="none"/>
              </v:rect>
            </w:pict>
          </mc:Fallback>
        </mc:AlternateContent>
      </w:r>
    </w:p>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TEXAS INSTRUMENTS INCORPORATED AND SUBSIDIARIES</w:t>
      </w:r>
    </w:p>
    <w:tbl>
      <w:tblPr>
        <w:tblW w:w="9905" w:type="dxa"/>
        <w:jc w:val="center"/>
        <w:tblInd w:w="0" w:type="dxa"/>
        <w:tblLayout w:type="fixed"/>
        <w:tblCellMar>
          <w:top w:w="28" w:type="dxa"/>
          <w:left w:w="28" w:type="dxa"/>
          <w:bottom w:w="28" w:type="dxa"/>
          <w:right w:w="28" w:type="dxa"/>
        </w:tblCellMar>
      </w:tblPr>
      <w:tblGrid>
        <w:gridCol w:w="2558"/>
        <w:gridCol w:w="2247"/>
        <w:gridCol w:w="2259"/>
        <w:gridCol w:w="109"/>
        <w:gridCol w:w="109"/>
        <w:gridCol w:w="109"/>
        <w:gridCol w:w="211"/>
        <w:gridCol w:w="751"/>
        <w:gridCol w:w="109"/>
        <w:gridCol w:w="109"/>
        <w:gridCol w:w="109"/>
        <w:gridCol w:w="109"/>
        <w:gridCol w:w="211"/>
        <w:gridCol w:w="751"/>
        <w:gridCol w:w="154"/>
      </w:tblGrid>
      <w:tr>
        <w:trPr/>
        <w:tc>
          <w:tcPr>
            <w:tcW w:w="2558"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Consolidated 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70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 millions, except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3,660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Accounts receivable, net of allowances of ($22) and ($24)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2,520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Raw 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Work in process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2,407</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4,605</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4,812 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15,757</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14,484 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17,856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16,878 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depreciation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(5,945)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(4,557)</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11,911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12,321 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4,330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 licenses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314</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Overfunded retirement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2,237</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35,882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34,933 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680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payable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3,244</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2,492 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12,903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14,043 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Underfunded retirement plans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123</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1,550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17,875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18,530 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Preferred stock, $25 par value. Shares authorized – 10; none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$1 par value. Shares authorized – 2,400; shares issued – 1,741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1,741</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53,161</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52,249 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Treasury common stock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June 30, 2026 – 828; June 30, 2025 – 832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(41,941)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(41,676)</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income (loss), net of taxes (AOCI)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18,007</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16,403 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35,882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34,933 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7660"/>
                <wp:effectExtent l="0" t="0" r="0" b="0"/>
                <wp:wrapNone/>
                <wp:docPr id="7" name="Frame7"/>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jc w:val="right"/>
                              <w:rPr/>
                            </w:pPr>
                            <w:r>
                              <w:rPr>
                                <w:rFonts w:ascii="Arial;sans-serif" w:hAnsi="Arial;sans-serif"/>
                                <w:b w:val="false"/>
                                <w:color w:val="000000"/>
                                <w:sz w:val="20"/>
                              </w:rPr>
                              <w:t>4</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right"/>
                        <w:rPr/>
                      </w:pPr>
                      <w:r>
                        <w:rPr>
                          <w:rFonts w:ascii="Arial;sans-serif" w:hAnsi="Arial;sans-serif"/>
                          <w:b w:val="false"/>
                          <w:color w:val="000000"/>
                          <w:sz w:val="20"/>
                        </w:rPr>
                        <w:t>4</w:t>
                      </w:r>
                      <w:r>
                        <w:rPr>
                          <w:color w:val="000000"/>
                        </w:rPr>
                        <w:t>    </w:t>
                      </w:r>
                    </w:p>
                  </w:txbxContent>
                </v:textbox>
                <w10:wrap type="none"/>
              </v:rect>
            </w:pict>
          </mc:Fallback>
        </mc:AlternateContent>
      </w:r>
    </w:p>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TEXAS INSTRUMENTS INCORPORATED AND SUBSIDIARIES</w:t>
      </w:r>
    </w:p>
    <w:tbl>
      <w:tblPr>
        <w:tblW w:w="8559" w:type="dxa"/>
        <w:jc w:val="center"/>
        <w:tblInd w:w="0" w:type="dxa"/>
        <w:tblLayout w:type="fixed"/>
        <w:tblCellMar>
          <w:top w:w="28" w:type="dxa"/>
          <w:left w:w="28" w:type="dxa"/>
          <w:bottom w:w="28" w:type="dxa"/>
          <w:right w:w="28" w:type="dxa"/>
        </w:tblCellMar>
      </w:tblPr>
      <w:tblGrid>
        <w:gridCol w:w="2090"/>
        <w:gridCol w:w="1837"/>
        <w:gridCol w:w="1847"/>
        <w:gridCol w:w="109"/>
        <w:gridCol w:w="109"/>
        <w:gridCol w:w="109"/>
        <w:gridCol w:w="225"/>
        <w:gridCol w:w="690"/>
        <w:gridCol w:w="116"/>
        <w:gridCol w:w="116"/>
        <w:gridCol w:w="116"/>
        <w:gridCol w:w="116"/>
        <w:gridCol w:w="225"/>
        <w:gridCol w:w="690"/>
        <w:gridCol w:w="164"/>
      </w:tblGrid>
      <w:tr>
        <w:trPr/>
        <w:tc>
          <w:tcPr>
            <w:tcW w:w="2090"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Consolidated Statements of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Three Months Ended</w:t>
              <w:br/>
              <w:t>June 30,</w:t>
            </w:r>
          </w:p>
        </w:tc>
      </w:tr>
      <w:tr>
        <w:trPr/>
        <w:tc>
          <w:tcPr>
            <w:tcW w:w="57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5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1,980</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net income: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547</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capitalized software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w:t>
            </w: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127</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Gains on sales of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(decrease) from changes in: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90</w:t>
            </w: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 and accrued expenses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w:t>
            </w: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142</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payable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funded status of retirement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w:t>
            </w: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2,703</w:t>
            </w:r>
            <w:r>
              <w:rPr>
                <w:color w:val="000000"/>
              </w:rPr>
              <w:t>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1,860 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(514)</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(1,305)</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CHIPS Act incentives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549</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asset sales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w:t>
            </w: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(2,407)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short-term investments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636</w:t>
            </w: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1,131 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investing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(1,702)</w:t>
            </w:r>
          </w:p>
        </w:tc>
        <w:tc>
          <w:tcPr>
            <w:tcW w:w="11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(1,335)</w:t>
            </w:r>
          </w:p>
        </w:tc>
        <w:tc>
          <w:tcPr>
            <w:tcW w:w="16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issuance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paid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(1,295)</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(1,235)</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common stock transactions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445</w:t>
            </w: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financing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(890)</w:t>
            </w:r>
          </w:p>
        </w:tc>
        <w:tc>
          <w:tcPr>
            <w:tcW w:w="11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w:t>
            </w:r>
          </w:p>
        </w:tc>
        <w:tc>
          <w:tcPr>
            <w:tcW w:w="16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cash and cash equivalents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111</w:t>
            </w: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3,549</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at end of period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3,660</w:t>
            </w:r>
            <w:r>
              <w:rPr>
                <w:color w:val="000000"/>
              </w:rPr>
              <w:t> </w:t>
            </w:r>
          </w:p>
        </w:tc>
        <w:tc>
          <w:tcPr>
            <w:tcW w:w="11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3,044 </w:t>
            </w:r>
          </w:p>
        </w:tc>
        <w:tc>
          <w:tcPr>
            <w:tcW w:w="16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Supplemental cash flow information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tax credit (ITC) used to reduce income 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301</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CHIPS Act incentives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549</w:t>
            </w: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benefit related to the CHIPS 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850</w:t>
            </w:r>
            <w:r>
              <w:rPr>
                <w:color w:val="000000"/>
              </w:rPr>
              <w:t>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7660"/>
                <wp:effectExtent l="0" t="0" r="0" b="0"/>
                <wp:wrapNone/>
                <wp:docPr id="8" name="Frame8"/>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jc w:val="right"/>
                              <w:rPr/>
                            </w:pPr>
                            <w:r>
                              <w:rPr>
                                <w:rFonts w:ascii="Arial;sans-serif" w:hAnsi="Arial;sans-serif"/>
                                <w:b w:val="false"/>
                                <w:color w:val="000000"/>
                                <w:sz w:val="20"/>
                              </w:rPr>
                              <w:t>5</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right"/>
                        <w:rPr/>
                      </w:pPr>
                      <w:r>
                        <w:rPr>
                          <w:rFonts w:ascii="Arial;sans-serif" w:hAnsi="Arial;sans-serif"/>
                          <w:b w:val="false"/>
                          <w:color w:val="000000"/>
                          <w:sz w:val="20"/>
                        </w:rPr>
                        <w:t>5</w:t>
                      </w:r>
                      <w:r>
                        <w:rPr>
                          <w:color w:val="000000"/>
                        </w:rPr>
                        <w:t>    </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Segment results</w:t>
      </w:r>
    </w:p>
    <w:tbl>
      <w:tblPr>
        <w:tblW w:w="5595" w:type="dxa"/>
        <w:jc w:val="left"/>
        <w:tblInd w:w="0" w:type="dxa"/>
        <w:tblLayout w:type="fixed"/>
        <w:tblCellMar>
          <w:top w:w="28" w:type="dxa"/>
          <w:left w:w="28" w:type="dxa"/>
          <w:bottom w:w="28" w:type="dxa"/>
          <w:right w:w="28" w:type="dxa"/>
        </w:tblCellMar>
      </w:tblPr>
      <w:tblGrid>
        <w:gridCol w:w="778"/>
        <w:gridCol w:w="681"/>
        <w:gridCol w:w="685"/>
        <w:gridCol w:w="211"/>
        <w:gridCol w:w="646"/>
        <w:gridCol w:w="109"/>
        <w:gridCol w:w="109"/>
        <w:gridCol w:w="109"/>
        <w:gridCol w:w="109"/>
        <w:gridCol w:w="211"/>
        <w:gridCol w:w="646"/>
        <w:gridCol w:w="109"/>
        <w:gridCol w:w="109"/>
        <w:gridCol w:w="109"/>
        <w:gridCol w:w="109"/>
        <w:gridCol w:w="188"/>
        <w:gridCol w:w="188"/>
        <w:gridCol w:w="489"/>
      </w:tblGrid>
      <w:tr>
        <w:trPr/>
        <w:tc>
          <w:tcPr>
            <w:tcW w:w="7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millions)</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Q2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Change</w:t>
            </w:r>
          </w:p>
        </w:tc>
      </w:tr>
      <w:tr>
        <w:trPr/>
        <w:tc>
          <w:tcPr>
            <w:tcW w:w="21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Analog:</w:t>
            </w:r>
          </w:p>
        </w:tc>
        <w:tc>
          <w:tcPr>
            <w:tcW w:w="96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48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Embedded Processing:</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48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 *</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48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 Includes Acquisition charges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7660"/>
                <wp:effectExtent l="0" t="0" r="0" b="0"/>
                <wp:wrapNone/>
                <wp:docPr id="9" name="Frame9"/>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jc w:val="right"/>
                              <w:rPr/>
                            </w:pPr>
                            <w:r>
                              <w:rPr>
                                <w:rFonts w:ascii="Arial;sans-serif" w:hAnsi="Arial;sans-serif"/>
                                <w:b w:val="false"/>
                                <w:color w:val="000000"/>
                                <w:sz w:val="20"/>
                              </w:rPr>
                              <w:t>6</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right"/>
                        <w:rPr/>
                      </w:pPr>
                      <w:r>
                        <w:rPr>
                          <w:rFonts w:ascii="Arial;sans-serif" w:hAnsi="Arial;sans-serif"/>
                          <w:b w:val="false"/>
                          <w:color w:val="000000"/>
                          <w:sz w:val="20"/>
                        </w:rPr>
                        <w:t>6</w:t>
                      </w:r>
                      <w:r>
                        <w:rPr>
                          <w:color w:val="000000"/>
                        </w:rPr>
                        <w:t>    </w:t>
                      </w:r>
                    </w:p>
                  </w:txbxContent>
                </v:textbox>
                <w10:wrap type="none"/>
              </v:rect>
            </w:pict>
          </mc:Fallback>
        </mc:AlternateContent>
      </w:r>
    </w:p>
    <w:p>
      <w:pPr>
        <w:pStyle w:val="TextBody"/>
        <w:bidi w:val="0"/>
        <w:spacing w:lineRule="auto" w:line="288" w:before="360" w:after="283"/>
        <w:jc w:val="left"/>
        <w:rPr>
          <w:rFonts w:ascii="Arial;sans-serif" w:hAnsi="Arial;sans-serif"/>
          <w:b/>
          <w:color w:val="000000"/>
          <w:sz w:val="20"/>
          <w:u w:val="single"/>
        </w:rPr>
      </w:pPr>
      <w:r>
        <w:rPr>
          <w:rFonts w:ascii="Arial;sans-serif" w:hAnsi="Arial;sans-serif"/>
          <w:b/>
          <w:color w:val="000000"/>
          <w:sz w:val="20"/>
          <w:u w:val="single"/>
        </w:rPr>
        <w:t>Non-GAAP financial information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This release includes references to free cash flow and ratios based on that measure. These are financial measures that were not prepared in accordance with GAAP. Free cash flow is calculated as cash flows from operating activities (also referred to as cash flow from operations) less capital expenditures, plus proceeds from CHIPS Act incentives.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Reconciliation to the most directly comparable GAAP measures is provided in the table below.</w:t>
      </w:r>
    </w:p>
    <w:tbl>
      <w:tblPr>
        <w:tblW w:w="10205" w:type="dxa"/>
        <w:jc w:val="left"/>
        <w:tblInd w:w="0" w:type="dxa"/>
        <w:tblLayout w:type="fixed"/>
        <w:tblCellMar>
          <w:top w:w="28" w:type="dxa"/>
          <w:left w:w="28" w:type="dxa"/>
          <w:bottom w:w="28" w:type="dxa"/>
          <w:right w:w="28" w:type="dxa"/>
        </w:tblCellMar>
      </w:tblPr>
      <w:tblGrid>
        <w:gridCol w:w="1392"/>
        <w:gridCol w:w="1137"/>
        <w:gridCol w:w="1100"/>
        <w:gridCol w:w="386"/>
        <w:gridCol w:w="1184"/>
        <w:gridCol w:w="199"/>
        <w:gridCol w:w="109"/>
        <w:gridCol w:w="109"/>
        <w:gridCol w:w="109"/>
        <w:gridCol w:w="109"/>
        <w:gridCol w:w="109"/>
        <w:gridCol w:w="109"/>
        <w:gridCol w:w="211"/>
        <w:gridCol w:w="751"/>
        <w:gridCol w:w="286"/>
        <w:gridCol w:w="109"/>
        <w:gridCol w:w="109"/>
        <w:gridCol w:w="109"/>
        <w:gridCol w:w="211"/>
        <w:gridCol w:w="751"/>
        <w:gridCol w:w="286"/>
        <w:gridCol w:w="109"/>
        <w:gridCol w:w="109"/>
        <w:gridCol w:w="109"/>
        <w:gridCol w:w="240"/>
        <w:gridCol w:w="241"/>
        <w:gridCol w:w="522"/>
      </w:tblGrid>
      <w:tr>
        <w:trPr/>
        <w:tc>
          <w:tcPr>
            <w:tcW w:w="1392"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For 12 </w:t>
              <w:br/>
              <w:t>Months</w:t>
              <w:br/>
              <w:t>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millions)</w:t>
            </w:r>
          </w:p>
        </w:tc>
        <w:tc>
          <w:tcPr>
            <w:tcW w:w="17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36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 from operations (GAAP) *</w:t>
            </w:r>
          </w:p>
        </w:tc>
        <w:tc>
          <w:tcPr>
            <w:tcW w:w="38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8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2,703</w:t>
            </w:r>
            <w:r>
              <w:rPr>
                <w:color w:val="000000"/>
              </w:rPr>
              <w:t> </w:t>
            </w:r>
          </w:p>
        </w:tc>
        <w:tc>
          <w:tcPr>
            <w:tcW w:w="19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8,667</w:t>
            </w:r>
            <w:r>
              <w:rPr>
                <w:color w:val="000000"/>
              </w:rPr>
              <w:t>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6,439 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52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(514)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(3,312)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CHIPS Act incentives</w:t>
            </w:r>
          </w:p>
        </w:tc>
        <w:tc>
          <w:tcPr>
            <w:tcW w:w="15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549</w:t>
            </w:r>
            <w:r>
              <w:rPr>
                <w:color w:val="000000"/>
              </w:rPr>
              <w:t> </w:t>
            </w:r>
          </w:p>
        </w:tc>
        <w:tc>
          <w:tcPr>
            <w:tcW w:w="19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1,179</w:t>
            </w: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2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 (non-GAAP)</w:t>
            </w:r>
          </w:p>
        </w:tc>
        <w:tc>
          <w:tcPr>
            <w:tcW w:w="3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2,738</w:t>
            </w:r>
            <w:r>
              <w:rPr>
                <w:color w:val="000000"/>
              </w:rPr>
              <w:t>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6,534</w:t>
            </w:r>
            <w:r>
              <w:rPr>
                <w:color w:val="000000"/>
              </w:rPr>
              <w:t>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1,763 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271 </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6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19,453</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16,675 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 from operations as a percentage of revenue (GAAP)</w:t>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44.6</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 as a percentage of revenue (non-GAAP)</w:t>
            </w:r>
          </w:p>
        </w:tc>
        <w:tc>
          <w:tcPr>
            <w:tcW w:w="17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33.6</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lineRule="auto" w:line="288" w:before="120" w:after="283"/>
        <w:jc w:val="left"/>
        <w:rPr/>
      </w:pPr>
      <w:r>
        <w:rPr>
          <w:rFonts w:ascii="Arial;sans-serif" w:hAnsi="Arial;sans-serif"/>
          <w:b w:val="false"/>
          <w:color w:val="000000"/>
          <w:sz w:val="20"/>
        </w:rPr>
        <w:t xml:space="preserve">* </w:t>
      </w:r>
      <w:r>
        <w:rPr>
          <w:rFonts w:ascii="Arial;sans-serif" w:hAnsi="Arial;sans-serif"/>
          <w:b w:val="false"/>
          <w:i/>
          <w:color w:val="000000"/>
          <w:sz w:val="20"/>
        </w:rPr>
        <w:t>Includes cash benefits of $301 million, $433 million and $479 million from the CHIPS Act ITC used to reduce income taxes payable for the three months ended June 30, 2026, and the twelve months ended June 30, 2026 and 2025, respectively.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This release also includes references to operating taxes, a non-GAAP term we use to describe taxes calculated using the estimated annual effective tax rate, a GAAP measure that by definition does not include discrete tax items. We believe the term operating taxes helps to differentiate from effective taxes, which include discrete tax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7660"/>
                <wp:effectExtent l="0" t="0" r="0" b="0"/>
                <wp:wrapNone/>
                <wp:docPr id="10" name="Frame10"/>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jc w:val="right"/>
                              <w:rPr/>
                            </w:pPr>
                            <w:r>
                              <w:rPr>
                                <w:rFonts w:ascii="Arial;sans-serif" w:hAnsi="Arial;sans-serif"/>
                                <w:b w:val="false"/>
                                <w:color w:val="000000"/>
                                <w:sz w:val="20"/>
                              </w:rPr>
                              <w:t>7</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right"/>
                        <w:rPr/>
                      </w:pPr>
                      <w:r>
                        <w:rPr>
                          <w:rFonts w:ascii="Arial;sans-serif" w:hAnsi="Arial;sans-serif"/>
                          <w:b w:val="false"/>
                          <w:color w:val="000000"/>
                          <w:sz w:val="20"/>
                        </w:rPr>
                        <w:t>7</w:t>
                      </w:r>
                      <w:r>
                        <w:rPr>
                          <w:color w:val="000000"/>
                        </w:rPr>
                        <w:t>    </w:t>
                      </w:r>
                    </w:p>
                  </w:txbxContent>
                </v:textbox>
                <w10:wrap type="none"/>
              </v:rect>
            </w:pict>
          </mc:Fallback>
        </mc:AlternateConten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Notice regarding forward-looking statements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We urge you to carefully consider the following important factors that could cause actual results to differ materially from the expectations of TI or our management: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Economic, social and political conditions, and natural events in the countries in which we, our customers or our suppliers operate, including global trade policies;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compete in products and prices in an intensely competitive industry;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Market demand for semiconductors, particularly in the industrial and automotive markets, and customer demand that differs from forecasts;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Losses or curtailments of purchases from key customers or the timing and amount of customer inventory adjustments;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Evolving cybersecurity and other threats relating to our information technology systems or those of our customers, suppliers and other third parties;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successfully implement and realize opportunities from strategic, business and organizational changes, or our ability to realize our expectations regarding the amount and timing of associated restructuring charges and cost savings;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Availability and cost of key materials, utilities, manufacturing equipment, third-party manufacturing services and manufacturing technology;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retain, train and recruit skilled personnel and effectively manage key employee succession;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Product liability, warranty or other claims relating to our products, software, manufacturing, delivery, services, design or communications, or recalls by our customers for a product containing one of our parts;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Financial difficulties of our distributors or semiconductor distributors' promotion of competing product lines to our detriment; or disputes with current or former distributors;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maintain or improve profit margins, including our ability to utilize our manufacturing facilities at sufficient levels to cover our fixed operating costs, in an intensely competitive and cyclical industry and changing regulatory environment;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Compliance with or changes in the complex laws, rules and regulations to which we are or may become subject, or actions of enforcement authorities, that restrict our ability to operate our business or subject us to fines, penalties or other legal liability;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maintain and enforce a strong intellectual property portfolio and maintain freedom of operation in all jurisdictions where we conduct business; or our exposure to infringement claims;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make principal and interest payments on our debt when due;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Instability in the global credit and financial markets;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Impairments of our non-financial assets.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7660"/>
                <wp:effectExtent l="0" t="0" r="0" b="0"/>
                <wp:wrapNone/>
                <wp:docPr id="11" name="Frame1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jc w:val="right"/>
                              <w:rPr/>
                            </w:pPr>
                            <w:r>
                              <w:rPr>
                                <w:rFonts w:ascii="Arial;sans-serif" w:hAnsi="Arial;sans-serif"/>
                                <w:b w:val="false"/>
                                <w:color w:val="000000"/>
                                <w:sz w:val="20"/>
                              </w:rPr>
                              <w:t>8</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right"/>
                        <w:rPr/>
                      </w:pPr>
                      <w:r>
                        <w:rPr>
                          <w:rFonts w:ascii="Arial;sans-serif" w:hAnsi="Arial;sans-serif"/>
                          <w:b w:val="false"/>
                          <w:color w:val="000000"/>
                          <w:sz w:val="20"/>
                        </w:rPr>
                        <w:t>8</w:t>
                      </w:r>
                      <w:r>
                        <w:rPr>
                          <w:color w:val="000000"/>
                        </w:rPr>
                        <w:t>    </w:t>
                      </w:r>
                    </w:p>
                  </w:txbxContent>
                </v:textbox>
                <w10:wrap type="none"/>
              </v:rect>
            </w:pict>
          </mc:Fallback>
        </mc:AlternateConten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About Texas Instruments</w:t>
      </w:r>
    </w:p>
    <w:p>
      <w:pPr>
        <w:pStyle w:val="TextBody"/>
        <w:bidi w:val="0"/>
        <w:spacing w:lineRule="auto" w:line="288" w:before="240" w:after="283"/>
        <w:jc w:val="left"/>
        <w:rPr/>
      </w:pPr>
      <w:r>
        <w:rPr>
          <w:rFonts w:ascii="Arial;sans-serif" w:hAnsi="Arial;sans-serif"/>
          <w:b w:val="false"/>
          <w:color w:val="000000"/>
          <w:sz w:val="20"/>
        </w:rPr>
        <w:t xml:space="preserve">Texas Instruments Incorporated (Nasdaq: TXN) is a global semiconductor company that designs, manufactures and sells analog and embedded processing chips for markets such as industrial, automotive, data center, personal electronics and communications equipment. At our core, we have a passion to create a better world by making electronics more affordable through semiconductors. This passion is alive today as each generation of innovation builds upon the last to make our technology more reliable, more affordable and lower power, making it possible for semiconductors to go into electronics everywhere. Learn more at </w:t>
      </w:r>
      <w:r>
        <w:rPr>
          <w:rFonts w:ascii="Arial;sans-serif" w:hAnsi="Arial;sans-serif"/>
          <w:b w:val="false"/>
          <w:color w:val="0E32E1"/>
          <w:sz w:val="20"/>
          <w:u w:val="single"/>
        </w:rPr>
        <w:t>TI.com</w:t>
      </w:r>
      <w:r>
        <w:rPr>
          <w:rFonts w:ascii="Arial;sans-serif" w:hAnsi="Arial;sans-serif"/>
          <w:b w:val="false"/>
          <w:color w:val="000000"/>
          <w:sz w:val="20"/>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7660"/>
                <wp:effectExtent l="0" t="0" r="0" b="0"/>
                <wp:wrapNone/>
                <wp:docPr id="12" name="Frame1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288" w:before="240" w:after="283"/>
                              <w:jc w:val="right"/>
                              <w:rPr/>
                            </w:pPr>
                            <w:r>
                              <w:rPr>
                                <w:rFonts w:ascii="Arial;sans-serif" w:hAnsi="Arial;sans-serif"/>
                                <w:b w:val="false"/>
                                <w:color w:val="000000"/>
                                <w:sz w:val="20"/>
                              </w:rPr>
                              <w:t>9</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right"/>
                        <w:rPr/>
                      </w:pPr>
                      <w:r>
                        <w:rPr>
                          <w:rFonts w:ascii="Arial;sans-serif" w:hAnsi="Arial;sans-serif"/>
                          <w:b w:val="false"/>
                          <w:color w:val="000000"/>
                          <w:sz w:val="20"/>
                        </w:rPr>
                        <w:t>9</w:t>
                      </w:r>
                      <w:r>
                        <w:rPr>
                          <w:color w:val="000000"/>
                        </w:rPr>
                        <w:t>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2694</Words>
  <Characters>14823</Characters>
  <CharactersWithSpaces>17203</CharactersWithSpaces>
  <Paragraphs>712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