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For the quarterly period ended September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For the transition period from ___________ to ___________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001-03761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01" w:type="dxa"/>
        <w:jc w:val="center"/>
        <w:tblInd w:w="0" w:type="dxa"/>
        <w:tblLayout w:type="fixed"/>
        <w:tblCellMar>
          <w:top w:w="28" w:type="dxa"/>
          <w:left w:w="28" w:type="dxa"/>
          <w:bottom w:w="28" w:type="dxa"/>
          <w:right w:w="28" w:type="dxa"/>
        </w:tblCellMar>
      </w:tblPr>
      <w:tblGrid>
        <w:gridCol w:w="124"/>
        <w:gridCol w:w="109"/>
        <w:gridCol w:w="109"/>
        <w:gridCol w:w="1072"/>
        <w:gridCol w:w="1072"/>
        <w:gridCol w:w="1081"/>
        <w:gridCol w:w="109"/>
        <w:gridCol w:w="109"/>
        <w:gridCol w:w="109"/>
        <w:gridCol w:w="942"/>
        <w:gridCol w:w="942"/>
        <w:gridCol w:w="9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12500 TI Boulevard, 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75243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214-479-3773 </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157" w:type="dxa"/>
        <w:jc w:val="left"/>
        <w:tblInd w:w="0" w:type="dxa"/>
        <w:tblLayout w:type="fixed"/>
        <w:tblCellMar>
          <w:top w:w="28" w:type="dxa"/>
          <w:left w:w="28" w:type="dxa"/>
          <w:bottom w:w="28" w:type="dxa"/>
          <w:right w:w="28" w:type="dxa"/>
        </w:tblCellMar>
      </w:tblPr>
      <w:tblGrid>
        <w:gridCol w:w="1057"/>
        <w:gridCol w:w="928"/>
        <w:gridCol w:w="939"/>
        <w:gridCol w:w="524"/>
        <w:gridCol w:w="524"/>
        <w:gridCol w:w="526"/>
        <w:gridCol w:w="1071"/>
        <w:gridCol w:w="1071"/>
        <w:gridCol w:w="1517"/>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9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$1.00</w:t>
            </w:r>
          </w:p>
        </w:tc>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TXN</w:t>
            </w:r>
          </w:p>
        </w:tc>
        <w:tc>
          <w:tcPr>
            <w:tcW w:w="36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left"/>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06"/>
        <w:gridCol w:w="1354"/>
        <w:gridCol w:w="1314"/>
        <w:gridCol w:w="222"/>
        <w:gridCol w:w="222"/>
        <w:gridCol w:w="222"/>
        <w:gridCol w:w="222"/>
        <w:gridCol w:w="222"/>
        <w:gridCol w:w="222"/>
        <w:gridCol w:w="1372"/>
        <w:gridCol w:w="1372"/>
        <w:gridCol w:w="1377"/>
        <w:gridCol w:w="109"/>
        <w:gridCol w:w="109"/>
        <w:gridCol w:w="160"/>
      </w:tblGrid>
      <w:tr>
        <w:trPr/>
        <w:tc>
          <w:tcPr>
            <w:tcW w:w="17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jc w:val="left"/>
        <w:rPr/>
      </w:pPr>
      <w:r>
        <w:rPr>
          <w:rFonts w:ascii="Arial;sans-serif" w:hAnsi="Arial;sans-serif"/>
          <w:b w:val="false"/>
          <w:color w:val="000000"/>
          <w:sz w:val="20"/>
        </w:rPr>
        <w:t>Indicate by check mark whether the Registrant is a shell company (as defined in Rule 12b-2 of the Exchange Act). Yes</w:t>
      </w:r>
      <w:r>
        <w:rPr>
          <w:color w:val="000000"/>
        </w:rPr>
        <w:t> ☐ </w:t>
      </w:r>
      <w:r>
        <w:rPr>
          <w:rFonts w:ascii="Arial;sans-serif" w:hAnsi="Arial;sans-serif"/>
          <w:b w:val="false"/>
          <w:color w:val="000000"/>
          <w:sz w:val="20"/>
        </w:rPr>
        <w:t>No</w:t>
      </w:r>
      <w:r>
        <w:rPr>
          <w:color w:val="000000"/>
        </w:rPr>
        <w:t xml:space="preserve"> ☒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913,770,316</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Number of shares of Registrant’s common stock outstanding as of</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October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61"/>
        <w:gridCol w:w="1109"/>
        <w:gridCol w:w="1111"/>
        <w:gridCol w:w="134"/>
        <w:gridCol w:w="134"/>
        <w:gridCol w:w="134"/>
        <w:gridCol w:w="261"/>
        <w:gridCol w:w="800"/>
        <w:gridCol w:w="134"/>
        <w:gridCol w:w="134"/>
        <w:gridCol w:w="134"/>
        <w:gridCol w:w="134"/>
        <w:gridCol w:w="261"/>
        <w:gridCol w:w="800"/>
        <w:gridCol w:w="134"/>
        <w:gridCol w:w="134"/>
        <w:gridCol w:w="134"/>
        <w:gridCol w:w="134"/>
        <w:gridCol w:w="261"/>
        <w:gridCol w:w="931"/>
        <w:gridCol w:w="134"/>
        <w:gridCol w:w="134"/>
        <w:gridCol w:w="134"/>
        <w:gridCol w:w="134"/>
        <w:gridCol w:w="261"/>
        <w:gridCol w:w="931"/>
        <w:gridCol w:w="208"/>
      </w:tblGrid>
      <w:tr>
        <w:trPr/>
        <w:tc>
          <w:tcPr>
            <w:tcW w:w="126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r>
      <w:tr>
        <w:trPr/>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Income</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per-share amounts)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6,055</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16,343</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2,168</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3,887</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10,038</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7,611 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476</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1,430</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2,874</w:t>
            </w: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6,992</w:t>
            </w: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2,805</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6,757</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 (EPS):</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w:t>
            </w:r>
            <w:r>
              <w:rPr>
                <w:color w:val="000000"/>
              </w:rPr>
              <w:t>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20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w:t>
            </w:r>
            <w:r>
              <w:rPr>
                <w:color w:val="000000"/>
              </w:rPr>
              <w:t>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918</w:t>
            </w:r>
            <w:r>
              <w:rPr>
                <w:color w:val="000000"/>
              </w:rPr>
              <w:t> </w:t>
            </w:r>
          </w:p>
        </w:tc>
        <w:tc>
          <w:tcPr>
            <w:tcW w:w="134"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0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2,411</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5,916</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8"/>
        <w:gridCol w:w="1588"/>
        <w:gridCol w:w="1591"/>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180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(credit) of 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investments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162" w:type="dxa"/>
        <w:jc w:val="left"/>
        <w:tblInd w:w="0" w:type="dxa"/>
        <w:tblLayout w:type="fixed"/>
        <w:tblCellMar>
          <w:top w:w="28" w:type="dxa"/>
          <w:left w:w="28" w:type="dxa"/>
          <w:bottom w:w="28" w:type="dxa"/>
          <w:right w:w="28" w:type="dxa"/>
        </w:tblCellMar>
      </w:tblPr>
      <w:tblGrid>
        <w:gridCol w:w="2558"/>
        <w:gridCol w:w="2251"/>
        <w:gridCol w:w="2255"/>
        <w:gridCol w:w="109"/>
        <w:gridCol w:w="109"/>
        <w:gridCol w:w="109"/>
        <w:gridCol w:w="242"/>
        <w:gridCol w:w="863"/>
        <w:gridCol w:w="125"/>
        <w:gridCol w:w="109"/>
        <w:gridCol w:w="109"/>
        <w:gridCol w:w="109"/>
        <w:gridCol w:w="229"/>
        <w:gridCol w:w="818"/>
        <w:gridCol w:w="167"/>
      </w:tblGrid>
      <w:tr>
        <w:trPr/>
        <w:tc>
          <w:tcPr>
            <w:tcW w:w="255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4,211</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($27) and ($22)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2,482</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4,672</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16,880</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18,072</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(6,239)</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11,833</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2,121</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36,839</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837</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3,017</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1,552</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17,654</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54,282</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52,236 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September 30, 2026 – 827; December 31, 2025 – 834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(41,955)</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(42,130)</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19,185</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16,273 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36,839</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8720" w:type="dxa"/>
        <w:jc w:val="left"/>
        <w:tblInd w:w="0" w:type="dxa"/>
        <w:tblLayout w:type="fixed"/>
        <w:tblCellMar>
          <w:top w:w="28" w:type="dxa"/>
          <w:left w:w="28" w:type="dxa"/>
          <w:bottom w:w="28" w:type="dxa"/>
          <w:right w:w="28" w:type="dxa"/>
        </w:tblCellMar>
      </w:tblPr>
      <w:tblGrid>
        <w:gridCol w:w="2205"/>
        <w:gridCol w:w="1940"/>
        <w:gridCol w:w="1944"/>
        <w:gridCol w:w="109"/>
        <w:gridCol w:w="109"/>
        <w:gridCol w:w="109"/>
        <w:gridCol w:w="211"/>
        <w:gridCol w:w="646"/>
        <w:gridCol w:w="109"/>
        <w:gridCol w:w="109"/>
        <w:gridCol w:w="109"/>
        <w:gridCol w:w="109"/>
        <w:gridCol w:w="211"/>
        <w:gridCol w:w="646"/>
        <w:gridCol w:w="154"/>
      </w:tblGrid>
      <w:tr>
        <w:trPr/>
        <w:tc>
          <w:tcPr>
            <w:tcW w:w="220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6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U.S. CHIPS and Science Act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(2,736)</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tax credit (ITC) used to reduce 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benefit related to the CHIPS Act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1. </w:t>
      </w:r>
      <w:r>
        <w:rPr>
          <w:rFonts w:ascii="Arial;sans-serif" w:hAnsi="Arial;sans-serif"/>
          <w:b w:val="false"/>
          <w:color w:val="000000"/>
          <w:sz w:val="20"/>
          <w:u w:val="single"/>
        </w:rPr>
        <w:t>Description of business, including segment and 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Analog semiconductors change real-world signals, such as sound, temperature, pressure or light,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Embedded Processing products are the digital “brains” of many types of electronic equipment. They are designed to handle specific tasks and can be optimized for various combinations of performance, power and cost, depending on the application.</w:t>
      </w:r>
    </w:p>
    <w:p>
      <w:pPr>
        <w:pStyle w:val="TextBody"/>
        <w:bidi w:val="0"/>
        <w:spacing w:lineRule="auto" w:line="288" w:before="240" w:after="283"/>
        <w:jc w:val="left"/>
        <w:rPr/>
      </w:pPr>
      <w:r>
        <w:rPr>
          <w:rFonts w:ascii="Arial;sans-serif" w:hAnsi="Arial;sans-serif"/>
          <w:b w:val="false"/>
          <w:color w:val="000000"/>
          <w:sz w:val="20"/>
        </w:rPr>
        <w:t>We report the results of our remaining business activities in Other. Other includes DLP</w:t>
      </w:r>
      <w:r>
        <w:rPr>
          <w:rFonts w:ascii="Arial;sans-serif" w:hAnsi="Arial;sans-serif"/>
          <w:b w:val="false"/>
          <w:color w:val="000000"/>
          <w:sz w:val="12"/>
        </w:rPr>
        <w:t>®</w:t>
      </w:r>
      <w:r>
        <w:rPr>
          <w:color w:val="000000"/>
        </w:rPr>
        <w:t xml:space="preserve"> </w:t>
      </w:r>
      <w:r>
        <w:rPr>
          <w:rFonts w:ascii="Arial;sans-serif" w:hAnsi="Arial;sans-serif"/>
          <w:b w:val="false"/>
          <w:color w:val="000000"/>
          <w:sz w:val="20"/>
        </w:rPr>
        <w:t>products and calculators, which are operating segments that do not meet the quantitative thresholds for individually reportable segments and cannot be aggregated with other operating segments.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Segment information</w:t>
      </w:r>
    </w:p>
    <w:tbl>
      <w:tblPr>
        <w:tblW w:w="11058" w:type="dxa"/>
        <w:jc w:val="left"/>
        <w:tblInd w:w="0" w:type="dxa"/>
        <w:tblLayout w:type="fixed"/>
        <w:tblCellMar>
          <w:top w:w="28" w:type="dxa"/>
          <w:left w:w="28" w:type="dxa"/>
          <w:bottom w:w="28" w:type="dxa"/>
          <w:right w:w="28" w:type="dxa"/>
        </w:tblCellMar>
      </w:tblPr>
      <w:tblGrid>
        <w:gridCol w:w="663"/>
        <w:gridCol w:w="330"/>
        <w:gridCol w:w="283"/>
        <w:gridCol w:w="211"/>
        <w:gridCol w:w="646"/>
        <w:gridCol w:w="109"/>
        <w:gridCol w:w="109"/>
        <w:gridCol w:w="109"/>
        <w:gridCol w:w="109"/>
        <w:gridCol w:w="261"/>
        <w:gridCol w:w="595"/>
        <w:gridCol w:w="135"/>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61"/>
        <w:gridCol w:w="595"/>
        <w:gridCol w:w="135"/>
        <w:gridCol w:w="109"/>
        <w:gridCol w:w="109"/>
        <w:gridCol w:w="109"/>
        <w:gridCol w:w="211"/>
        <w:gridCol w:w="481"/>
        <w:gridCol w:w="109"/>
        <w:gridCol w:w="109"/>
        <w:gridCol w:w="109"/>
        <w:gridCol w:w="109"/>
        <w:gridCol w:w="211"/>
        <w:gridCol w:w="64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 September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858</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6,055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3,214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468</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before="240" w:after="283"/>
        <w:jc w:val="left"/>
        <w:rPr/>
      </w:pPr>
      <w:r>
        <w:rPr/>
      </w:r>
    </w:p>
    <w:tbl>
      <w:tblPr>
        <w:tblW w:w="11478" w:type="dxa"/>
        <w:jc w:val="left"/>
        <w:tblInd w:w="0" w:type="dxa"/>
        <w:tblLayout w:type="fixed"/>
        <w:tblCellMar>
          <w:top w:w="28" w:type="dxa"/>
          <w:left w:w="28" w:type="dxa"/>
          <w:bottom w:w="28" w:type="dxa"/>
          <w:right w:w="28" w:type="dxa"/>
        </w:tblCellMar>
      </w:tblPr>
      <w:tblGrid>
        <w:gridCol w:w="663"/>
        <w:gridCol w:w="330"/>
        <w:gridCol w:w="283"/>
        <w:gridCol w:w="211"/>
        <w:gridCol w:w="751"/>
        <w:gridCol w:w="109"/>
        <w:gridCol w:w="109"/>
        <w:gridCol w:w="109"/>
        <w:gridCol w:w="109"/>
        <w:gridCol w:w="216"/>
        <w:gridCol w:w="662"/>
        <w:gridCol w:w="113"/>
        <w:gridCol w:w="109"/>
        <w:gridCol w:w="109"/>
        <w:gridCol w:w="109"/>
        <w:gridCol w:w="211"/>
        <w:gridCol w:w="481"/>
        <w:gridCol w:w="109"/>
        <w:gridCol w:w="109"/>
        <w:gridCol w:w="109"/>
        <w:gridCol w:w="109"/>
        <w:gridCol w:w="211"/>
        <w:gridCol w:w="751"/>
        <w:gridCol w:w="109"/>
        <w:gridCol w:w="109"/>
        <w:gridCol w:w="109"/>
        <w:gridCol w:w="109"/>
        <w:gridCol w:w="211"/>
        <w:gridCol w:w="751"/>
        <w:gridCol w:w="109"/>
        <w:gridCol w:w="109"/>
        <w:gridCol w:w="109"/>
        <w:gridCol w:w="109"/>
        <w:gridCol w:w="216"/>
        <w:gridCol w:w="662"/>
        <w:gridCol w:w="113"/>
        <w:gridCol w:w="109"/>
        <w:gridCol w:w="109"/>
        <w:gridCol w:w="109"/>
        <w:gridCol w:w="211"/>
        <w:gridCol w:w="481"/>
        <w:gridCol w:w="109"/>
        <w:gridCol w:w="109"/>
        <w:gridCol w:w="109"/>
        <w:gridCol w:w="109"/>
        <w:gridCol w:w="211"/>
        <w:gridCol w:w="75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 September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2,369</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10,038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7,611 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w:t>
            </w: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6,992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i/>
          <w:color w:val="000000"/>
          <w:sz w:val="20"/>
        </w:rPr>
      </w:pPr>
      <w:r>
        <w:rPr>
          <w:rFonts w:ascii="Arial;sans-serif" w:hAnsi="Arial;sans-serif"/>
          <w:b w:val="false"/>
          <w:i/>
          <w:color w:val="000000"/>
          <w:sz w:val="20"/>
        </w:rPr>
        <w:t>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estimate for revenue based on the geographic location of our end customers’ headquarters, which represents where critical decisions are made, is as follows:</w:t>
      </w:r>
    </w:p>
    <w:tbl>
      <w:tblPr>
        <w:tblW w:w="10392" w:type="dxa"/>
        <w:jc w:val="left"/>
        <w:tblInd w:w="0" w:type="dxa"/>
        <w:tblLayout w:type="fixed"/>
        <w:tblCellMar>
          <w:top w:w="28" w:type="dxa"/>
          <w:left w:w="28" w:type="dxa"/>
          <w:bottom w:w="28" w:type="dxa"/>
          <w:right w:w="28" w:type="dxa"/>
        </w:tblCellMar>
      </w:tblPr>
      <w:tblGrid>
        <w:gridCol w:w="332"/>
        <w:gridCol w:w="291"/>
        <w:gridCol w:w="293"/>
        <w:gridCol w:w="211"/>
        <w:gridCol w:w="646"/>
        <w:gridCol w:w="109"/>
        <w:gridCol w:w="109"/>
        <w:gridCol w:w="109"/>
        <w:gridCol w:w="109"/>
        <w:gridCol w:w="240"/>
        <w:gridCol w:w="241"/>
        <w:gridCol w:w="286"/>
        <w:gridCol w:w="109"/>
        <w:gridCol w:w="109"/>
        <w:gridCol w:w="109"/>
        <w:gridCol w:w="211"/>
        <w:gridCol w:w="646"/>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Asia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 (a)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(a)Revenue from end customers headquartered in Germany was 9% and 10% in the third quarters of 2026 and 2025, respectively, and 9% and 10% in the first nine months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2. </w:t>
      </w:r>
      <w:r>
        <w:rPr>
          <w:rFonts w:ascii="Arial;sans-serif" w:hAnsi="Arial;sans-serif"/>
          <w:b w:val="false"/>
          <w:color w:val="000000"/>
          <w:sz w:val="20"/>
          <w:u w:val="single"/>
        </w:rPr>
        <w:t>Basis of presentation and significant accounting policies and practices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2025. The Consolidated Statements of Income, Comprehensive Income and Cash Flows for the periods ended September 30, 2026 and 2025, and the Consolidated Balance Sheet as of September 30, 2026,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2025. The results for the three- and nine-month periods are not necessarily indicative of a full year’s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Significant accounting policies and practices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Earnings per share (EPS)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Computation and reconciliation of earnings per common share are as follows:</w:t>
      </w:r>
    </w:p>
    <w:tbl>
      <w:tblPr>
        <w:tblW w:w="10205" w:type="dxa"/>
        <w:jc w:val="left"/>
        <w:tblInd w:w="0" w:type="dxa"/>
        <w:tblLayout w:type="fixed"/>
        <w:tblCellMar>
          <w:top w:w="28" w:type="dxa"/>
          <w:left w:w="28" w:type="dxa"/>
          <w:bottom w:w="28" w:type="dxa"/>
          <w:right w:w="28" w:type="dxa"/>
        </w:tblCellMar>
      </w:tblPr>
      <w:tblGrid>
        <w:gridCol w:w="1300"/>
        <w:gridCol w:w="1060"/>
        <w:gridCol w:w="1052"/>
        <w:gridCol w:w="217"/>
        <w:gridCol w:w="668"/>
        <w:gridCol w:w="112"/>
        <w:gridCol w:w="109"/>
        <w:gridCol w:w="109"/>
        <w:gridCol w:w="109"/>
        <w:gridCol w:w="240"/>
        <w:gridCol w:w="241"/>
        <w:gridCol w:w="216"/>
        <w:gridCol w:w="109"/>
        <w:gridCol w:w="109"/>
        <w:gridCol w:w="109"/>
        <w:gridCol w:w="211"/>
        <w:gridCol w:w="541"/>
        <w:gridCol w:w="109"/>
        <w:gridCol w:w="109"/>
        <w:gridCol w:w="109"/>
        <w:gridCol w:w="109"/>
        <w:gridCol w:w="217"/>
        <w:gridCol w:w="668"/>
        <w:gridCol w:w="112"/>
        <w:gridCol w:w="109"/>
        <w:gridCol w:w="109"/>
        <w:gridCol w:w="109"/>
        <w:gridCol w:w="240"/>
        <w:gridCol w:w="241"/>
        <w:gridCol w:w="216"/>
        <w:gridCol w:w="109"/>
        <w:gridCol w:w="109"/>
        <w:gridCol w:w="109"/>
        <w:gridCol w:w="211"/>
        <w:gridCol w:w="541"/>
        <w:gridCol w:w="157"/>
      </w:tblGrid>
      <w:tr>
        <w:trPr/>
        <w:tc>
          <w:tcPr>
            <w:tcW w:w="13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 September 30,</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2,411</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compensation plans</w:t>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2,411</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w:t>
            </w: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 September 30,</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5,916</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compensation plans</w:t>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5,916</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918</w:t>
            </w:r>
            <w:r>
              <w:rPr>
                <w:color w:val="000000"/>
              </w:rPr>
              <w:t>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excluded from the computation of diluted earnings per common share during the third quarter of 2026 were not material. Potentially dilutive securities representing 4 million shares of common stock that were outstanding during the third quarter of 2025, and 2 million and 10 million shares outstanding during the first nine months of 2026 and 2025, respectively, were excluded from the computation of diluted earnings per common share during these periods because their effect would have been anti-dilutive.</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Derivatives and hedging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connection with the issuance of long-term debt, we may use financial derivatives such as treasury-rate lock agreements that are recognized in AOCI and amortized over the life of the related debt.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results of these derivative transactions were not material. We do not use derivatives for speculative or trading purposes.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Fair values of financial instruments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values of our derivative financial instruments were not material as of September 30, 2026.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2026, the carrying value of long-term debt, including the current portion, was $13.56 billion, and the estimated fair value was $11.86 billion. The estimated fair value is measured using broker-dealer quotes, which are Level 2 inputs. See Note 4 for a description of fair value and the definition of Level 2 inputs.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Changes in accounting standards – standards not yet adopted</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are currently evaluating the potential impact of the following Accounting Standards Updates (ASU) on our financial statements and related disclosures. We plan to adopt these ASUs as of their effective dates.</w:t>
      </w:r>
    </w:p>
    <w:tbl>
      <w:tblPr>
        <w:tblW w:w="10205" w:type="dxa"/>
        <w:jc w:val="left"/>
        <w:tblInd w:w="0" w:type="dxa"/>
        <w:tblLayout w:type="fixed"/>
        <w:tblCellMar>
          <w:top w:w="28" w:type="dxa"/>
          <w:left w:w="28" w:type="dxa"/>
          <w:bottom w:w="28" w:type="dxa"/>
          <w:right w:w="28" w:type="dxa"/>
        </w:tblCellMar>
      </w:tblPr>
      <w:tblGrid>
        <w:gridCol w:w="375"/>
        <w:gridCol w:w="330"/>
        <w:gridCol w:w="339"/>
        <w:gridCol w:w="109"/>
        <w:gridCol w:w="109"/>
        <w:gridCol w:w="109"/>
        <w:gridCol w:w="2305"/>
        <w:gridCol w:w="2305"/>
        <w:gridCol w:w="2323"/>
        <w:gridCol w:w="109"/>
        <w:gridCol w:w="109"/>
        <w:gridCol w:w="109"/>
        <w:gridCol w:w="538"/>
        <w:gridCol w:w="427"/>
        <w:gridCol w:w="60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for Period Ending</w:t>
            </w:r>
          </w:p>
        </w:tc>
      </w:tr>
      <w:tr>
        <w:trPr/>
        <w:tc>
          <w:tcPr>
            <w:tcW w:w="104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2024-03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Income Statement – Reporting Comprehensive Income – Expense Disaggregation Disclosures (Subtopic 220-40): Disaggregation of Income Statement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2027</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Intangibles – Goodwill and Other – Internal-Use Software (Subtopic 350-40): Targeted Improvements to the Accounting for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2028</w:t>
            </w:r>
          </w:p>
        </w:tc>
      </w:tr>
      <w:tr>
        <w:trPr/>
        <w:tc>
          <w:tcPr>
            <w:tcW w:w="1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2025-10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Government Grants (Topic 832): Accounting for Government Grants Received by Business Entities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3. </w:t>
      </w:r>
      <w:r>
        <w:rPr>
          <w:rFonts w:ascii="Arial;sans-serif" w:hAnsi="Arial;sans-serif"/>
          <w:b w:val="false"/>
          <w:color w:val="000000"/>
          <w:sz w:val="20"/>
          <w:u w:val="single"/>
        </w:rPr>
        <w:t>Income taxes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bl>
      <w:tblPr>
        <w:tblW w:w="10205" w:type="dxa"/>
        <w:jc w:val="left"/>
        <w:tblInd w:w="0" w:type="dxa"/>
        <w:tblLayout w:type="fixed"/>
        <w:tblCellMar>
          <w:top w:w="28" w:type="dxa"/>
          <w:left w:w="28" w:type="dxa"/>
          <w:bottom w:w="28" w:type="dxa"/>
          <w:right w:w="28" w:type="dxa"/>
        </w:tblCellMar>
      </w:tblPr>
      <w:tblGrid>
        <w:gridCol w:w="1906"/>
        <w:gridCol w:w="1675"/>
        <w:gridCol w:w="1685"/>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211"/>
        <w:gridCol w:w="481"/>
        <w:gridCol w:w="332"/>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calculated using the estimated annual effective tax rate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3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807</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effective tax rate differs from the 21% U.S. statutory corporate tax rate due to the effect of U.S.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4. </w:t>
      </w:r>
      <w:r>
        <w:rPr>
          <w:rFonts w:ascii="Arial;sans-serif" w:hAnsi="Arial;sans-serif"/>
          <w:b w:val="false"/>
          <w:color w:val="000000"/>
          <w:sz w:val="20"/>
          <w:u w:val="single"/>
        </w:rPr>
        <w:t>Valuation of debt and equity investments and certain liabilities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Investments measured at fair value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Money market funds, debt investments and mutual funds are stated at fair value, which is generally based on market prices or broker quotes. We classify all debt investments as available-for-sale.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Details of our investments are as follows:</w:t>
      </w:r>
    </w:p>
    <w:tbl>
      <w:tblPr>
        <w:tblW w:w="10205" w:type="dxa"/>
        <w:jc w:val="left"/>
        <w:tblInd w:w="0" w:type="dxa"/>
        <w:tblLayout w:type="fixed"/>
        <w:tblCellMar>
          <w:top w:w="28" w:type="dxa"/>
          <w:left w:w="28" w:type="dxa"/>
          <w:bottom w:w="28" w:type="dxa"/>
          <w:right w:w="28" w:type="dxa"/>
        </w:tblCellMar>
      </w:tblPr>
      <w:tblGrid>
        <w:gridCol w:w="691"/>
        <w:gridCol w:w="432"/>
        <w:gridCol w:w="433"/>
        <w:gridCol w:w="257"/>
        <w:gridCol w:w="787"/>
        <w:gridCol w:w="134"/>
        <w:gridCol w:w="109"/>
        <w:gridCol w:w="109"/>
        <w:gridCol w:w="109"/>
        <w:gridCol w:w="259"/>
        <w:gridCol w:w="794"/>
        <w:gridCol w:w="135"/>
        <w:gridCol w:w="109"/>
        <w:gridCol w:w="109"/>
        <w:gridCol w:w="109"/>
        <w:gridCol w:w="323"/>
        <w:gridCol w:w="623"/>
        <w:gridCol w:w="167"/>
        <w:gridCol w:w="109"/>
        <w:gridCol w:w="109"/>
        <w:gridCol w:w="109"/>
        <w:gridCol w:w="257"/>
        <w:gridCol w:w="787"/>
        <w:gridCol w:w="134"/>
        <w:gridCol w:w="109"/>
        <w:gridCol w:w="109"/>
        <w:gridCol w:w="109"/>
        <w:gridCol w:w="259"/>
        <w:gridCol w:w="794"/>
        <w:gridCol w:w="135"/>
        <w:gridCol w:w="109"/>
        <w:gridCol w:w="109"/>
        <w:gridCol w:w="109"/>
        <w:gridCol w:w="316"/>
        <w:gridCol w:w="610"/>
        <w:gridCol w:w="243"/>
      </w:tblGrid>
      <w:tr>
        <w:trPr/>
        <w:tc>
          <w:tcPr>
            <w:tcW w:w="6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Long-Term Assets</w:t>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Measured at fair value:</w:t>
            </w:r>
          </w:p>
        </w:tc>
        <w:tc>
          <w:tcPr>
            <w:tcW w:w="117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597</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495</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4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3,816</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investments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on hand</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4,211</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September 30, 2026, and December 31, 2025, unrealized gains and losses associated with our debt investments were not material. We did not recognize any credit losses related to debt investments for the first nine months of 2026 and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aggregate maturities of our debt investments as of September 30, 2026:</w:t>
      </w:r>
    </w:p>
    <w:tbl>
      <w:tblPr>
        <w:tblW w:w="4250" w:type="dxa"/>
        <w:jc w:val="left"/>
        <w:tblInd w:w="0" w:type="dxa"/>
        <w:tblLayout w:type="fixed"/>
        <w:tblCellMar>
          <w:top w:w="28" w:type="dxa"/>
          <w:left w:w="28" w:type="dxa"/>
          <w:bottom w:w="28" w:type="dxa"/>
          <w:right w:w="28" w:type="dxa"/>
        </w:tblCellMar>
      </w:tblPr>
      <w:tblGrid>
        <w:gridCol w:w="579"/>
        <w:gridCol w:w="511"/>
        <w:gridCol w:w="514"/>
        <w:gridCol w:w="109"/>
        <w:gridCol w:w="109"/>
        <w:gridCol w:w="109"/>
        <w:gridCol w:w="109"/>
        <w:gridCol w:w="109"/>
        <w:gridCol w:w="109"/>
        <w:gridCol w:w="109"/>
        <w:gridCol w:w="109"/>
        <w:gridCol w:w="109"/>
        <w:gridCol w:w="109"/>
        <w:gridCol w:w="109"/>
        <w:gridCol w:w="109"/>
        <w:gridCol w:w="109"/>
        <w:gridCol w:w="109"/>
        <w:gridCol w:w="109"/>
        <w:gridCol w:w="211"/>
        <w:gridCol w:w="646"/>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year or less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Proceeds from sales, redemptions and maturities of short-term debt investments were $1.40 billion and $1.26 billion for the third quarters of 2026 and 2025, respectively, and $3.08 billion and $5.20 billion for the first nine months of 2026 and 2025, respectively. Gross realized gains and losses from these sales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Fair-value considerations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 The three-level hierarchy described below indicates the inputs used to estimate fair-value measurements.</w:t>
      </w:r>
    </w:p>
    <w:p>
      <w:pPr>
        <w:pStyle w:val="TextBody"/>
        <w:bidi w:val="0"/>
        <w:spacing w:lineRule="auto" w:line="288" w:before="240" w:after="120"/>
        <w:ind w:left="0" w:right="0" w:hanging="360"/>
        <w:jc w:val="left"/>
        <w:rPr/>
      </w:pPr>
      <w:r>
        <w:rPr>
          <w:color w:val="000000"/>
        </w:rPr>
        <w:t>•</w:t>
      </w: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Uses unadjusted quoted prices that are available in active markets for identical assets or liabilities as of the measurement date.</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Uses inputs other than Level 1 that are either directly or indirectly observable as of the measurement date through 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Uses inputs that are unobservable, supported by little or no market activity and reflect the use of significant management judgment. As of September 30, 2026, and December 31, 2025, we had no Level 3 assets or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tbl>
      <w:tblPr>
        <w:tblW w:w="10205" w:type="dxa"/>
        <w:jc w:val="left"/>
        <w:tblInd w:w="0" w:type="dxa"/>
        <w:tblLayout w:type="fixed"/>
        <w:tblCellMar>
          <w:top w:w="28" w:type="dxa"/>
          <w:left w:w="28" w:type="dxa"/>
          <w:bottom w:w="28" w:type="dxa"/>
          <w:right w:w="28" w:type="dxa"/>
        </w:tblCellMar>
      </w:tblPr>
      <w:tblGrid>
        <w:gridCol w:w="1165"/>
        <w:gridCol w:w="778"/>
        <w:gridCol w:w="78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1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5. </w:t>
      </w:r>
      <w:r>
        <w:rPr>
          <w:rFonts w:ascii="Arial;sans-serif" w:hAnsi="Arial;sans-serif"/>
          <w:b w:val="false"/>
          <w:color w:val="000000"/>
          <w:sz w:val="20"/>
          <w:u w:val="single"/>
        </w:rPr>
        <w:t>Postretirement benefit plans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Expenses related to defined benefit and retiree health care benefit plans are as follows:</w:t>
      </w:r>
    </w:p>
    <w:tbl>
      <w:tblPr>
        <w:tblW w:w="10205" w:type="dxa"/>
        <w:jc w:val="left"/>
        <w:tblInd w:w="0" w:type="dxa"/>
        <w:tblLayout w:type="fixed"/>
        <w:tblCellMar>
          <w:top w:w="28" w:type="dxa"/>
          <w:left w:w="28" w:type="dxa"/>
          <w:bottom w:w="28" w:type="dxa"/>
          <w:right w:w="28" w:type="dxa"/>
        </w:tblCellMar>
      </w:tblPr>
      <w:tblGrid>
        <w:gridCol w:w="1444"/>
        <w:gridCol w:w="1199"/>
        <w:gridCol w:w="1202"/>
        <w:gridCol w:w="211"/>
        <w:gridCol w:w="376"/>
        <w:gridCol w:w="109"/>
        <w:gridCol w:w="109"/>
        <w:gridCol w:w="109"/>
        <w:gridCol w:w="109"/>
        <w:gridCol w:w="211"/>
        <w:gridCol w:w="376"/>
        <w:gridCol w:w="109"/>
        <w:gridCol w:w="109"/>
        <w:gridCol w:w="109"/>
        <w:gridCol w:w="109"/>
        <w:gridCol w:w="229"/>
        <w:gridCol w:w="442"/>
        <w:gridCol w:w="118"/>
        <w:gridCol w:w="118"/>
        <w:gridCol w:w="118"/>
        <w:gridCol w:w="118"/>
        <w:gridCol w:w="229"/>
        <w:gridCol w:w="442"/>
        <w:gridCol w:w="118"/>
        <w:gridCol w:w="109"/>
        <w:gridCol w:w="109"/>
        <w:gridCol w:w="109"/>
        <w:gridCol w:w="244"/>
        <w:gridCol w:w="438"/>
        <w:gridCol w:w="126"/>
        <w:gridCol w:w="126"/>
        <w:gridCol w:w="126"/>
        <w:gridCol w:w="126"/>
        <w:gridCol w:w="244"/>
        <w:gridCol w:w="438"/>
        <w:gridCol w:w="187"/>
      </w:tblGrid>
      <w:tr>
        <w:trPr/>
        <w:tc>
          <w:tcPr>
            <w:tcW w:w="144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Defined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Retiree Health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Defined Benefit</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Three Months Ended September 30,</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(gains)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 (credits)</w:t>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(gains)</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including other postretirement losses (gains)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Defined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Retiree Health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Defined Benefit</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Nine Months Ended September 30,</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(gains)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 (credits)</w:t>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(gains)</w:t>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including other postretirement losses (gains)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6. </w:t>
      </w:r>
      <w:r>
        <w:rPr>
          <w:rFonts w:ascii="Arial;sans-serif" w:hAnsi="Arial;sans-serif"/>
          <w:b w:val="false"/>
          <w:color w:val="000000"/>
          <w:sz w:val="20"/>
          <w:u w:val="single"/>
        </w:rPr>
        <w:t>Debt and lines of credit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maintain a line of credit to provide additional liquidity through bank loans and, if necessary, to support commercial paper borrowings. As of September 30, 2026, the aforementioned line of credit was a variable-rate, revolving credit facility from a consortium of investment-grade banks that allows us to borrow up to $1 billion until March 2027. The interest rate on borrowings under this credit facility, if drawn, is indexed to the applicable Term Secured Overnight Financing Rate (Term SOFR). As of September 30, 2026, our credit facility was undrawn, and we had no commercial paper outstanding.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June 2026, we entered into a 364-day delayed draw term loan credit facility for borrowings up to $5 billion to support the Silicon Labs acquisition consideration and related transaction expenses. The availability of funding is conditioned on the consummation of the planned acquisition of Silicon Labs. As of September 30, 2026, there were no outstanding borrowings on the delayed draw term loan credit facility.</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2026, we retired $500 million of maturing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outstanding is as follows:</w:t>
      </w:r>
    </w:p>
    <w:tbl>
      <w:tblPr>
        <w:tblW w:w="9731" w:type="dxa"/>
        <w:jc w:val="left"/>
        <w:tblInd w:w="0" w:type="dxa"/>
        <w:tblLayout w:type="fixed"/>
        <w:tblCellMar>
          <w:top w:w="28" w:type="dxa"/>
          <w:left w:w="28" w:type="dxa"/>
          <w:bottom w:w="28" w:type="dxa"/>
          <w:right w:w="28" w:type="dxa"/>
        </w:tblCellMar>
      </w:tblPr>
      <w:tblGrid>
        <w:gridCol w:w="2515"/>
        <w:gridCol w:w="2216"/>
        <w:gridCol w:w="2228"/>
        <w:gridCol w:w="242"/>
        <w:gridCol w:w="863"/>
        <w:gridCol w:w="125"/>
        <w:gridCol w:w="109"/>
        <w:gridCol w:w="109"/>
        <w:gridCol w:w="109"/>
        <w:gridCol w:w="229"/>
        <w:gridCol w:w="818"/>
        <w:gridCol w:w="168"/>
      </w:tblGrid>
      <w:tr>
        <w:trPr/>
        <w:tc>
          <w:tcPr>
            <w:tcW w:w="251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2026 at 1.125%</w:t>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4.60%</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2.90%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2028 at 4.60%</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4.60%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2.25%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2030 at 1.75%</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2030 at 4.50%</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2031 at 1.90%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2032 at 3.65%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2033 at 4.90%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2034 at 4.85%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2035 at 5.10%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2039 at 3.875%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2048 at 4.15%</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2051 at 2.70%</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2052 at 4.10%</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2053 at 5.00%</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2054 at 5.15%</w:t>
            </w:r>
          </w:p>
        </w:tc>
        <w:tc>
          <w:tcPr>
            <w:tcW w:w="11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2063 at 5.05%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13,650</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discounts, premiums and issuance costs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including net unamortized discounts, premiums and issuance costs</w:t>
            </w:r>
          </w:p>
        </w:tc>
        <w:tc>
          <w:tcPr>
            <w:tcW w:w="11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13,555</w:t>
            </w: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14,048 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12,905</w:t>
            </w:r>
            <w:r>
              <w:rPr>
                <w:color w:val="000000"/>
              </w:rPr>
              <w:t> </w:t>
            </w:r>
          </w:p>
        </w:tc>
        <w:tc>
          <w:tcPr>
            <w:tcW w:w="1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13,548 </w:t>
            </w:r>
          </w:p>
        </w:tc>
        <w:tc>
          <w:tcPr>
            <w:tcW w:w="1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was $141 million for the third quarters of both 2026 and 2025, and $423 million and $402 million for the first nine months of 2026 and 2025, respectively. This is inclusive of amortized discounts, premiums and issuance and other related costs. Capitalized interest was $3 million for the third quarters of both 2026 and 2025, and $9 million for the first nine months of both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pPr>
      <w:r>
        <w:rPr>
          <w:rFonts w:ascii="Arial;sans-serif" w:hAnsi="Arial;sans-serif"/>
          <w:b w:val="false"/>
          <w:color w:val="000000"/>
          <w:sz w:val="20"/>
        </w:rPr>
        <w:t xml:space="preserve">7. </w:t>
      </w:r>
      <w:r>
        <w:rPr>
          <w:rFonts w:ascii="Arial;sans-serif" w:hAnsi="Arial;sans-serif"/>
          <w:b w:val="false"/>
          <w:color w:val="000000"/>
          <w:sz w:val="20"/>
          <w:u w:val="single"/>
        </w:rPr>
        <w:t>Stockholders’ equity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Changes in equity are as follows:</w:t>
      </w:r>
    </w:p>
    <w:tbl>
      <w:tblPr>
        <w:tblW w:w="10205" w:type="dxa"/>
        <w:jc w:val="left"/>
        <w:tblInd w:w="0" w:type="dxa"/>
        <w:tblLayout w:type="fixed"/>
        <w:tblCellMar>
          <w:top w:w="28" w:type="dxa"/>
          <w:left w:w="28" w:type="dxa"/>
          <w:bottom w:w="28" w:type="dxa"/>
          <w:right w:w="28" w:type="dxa"/>
        </w:tblCellMar>
      </w:tblPr>
      <w:tblGrid>
        <w:gridCol w:w="1313"/>
        <w:gridCol w:w="852"/>
        <w:gridCol w:w="855"/>
        <w:gridCol w:w="249"/>
        <w:gridCol w:w="764"/>
        <w:gridCol w:w="128"/>
        <w:gridCol w:w="109"/>
        <w:gridCol w:w="109"/>
        <w:gridCol w:w="109"/>
        <w:gridCol w:w="241"/>
        <w:gridCol w:w="740"/>
        <w:gridCol w:w="124"/>
        <w:gridCol w:w="109"/>
        <w:gridCol w:w="109"/>
        <w:gridCol w:w="109"/>
        <w:gridCol w:w="257"/>
        <w:gridCol w:w="915"/>
        <w:gridCol w:w="132"/>
        <w:gridCol w:w="109"/>
        <w:gridCol w:w="109"/>
        <w:gridCol w:w="109"/>
        <w:gridCol w:w="295"/>
        <w:gridCol w:w="1103"/>
        <w:gridCol w:w="152"/>
        <w:gridCol w:w="109"/>
        <w:gridCol w:w="109"/>
        <w:gridCol w:w="109"/>
        <w:gridCol w:w="211"/>
        <w:gridCol w:w="404"/>
        <w:gridCol w:w="162"/>
      </w:tblGrid>
      <w:tr>
        <w:trPr/>
        <w:tc>
          <w:tcPr>
            <w:tcW w:w="13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2025</w:t>
            </w:r>
          </w:p>
        </w:tc>
        <w:tc>
          <w:tcPr>
            <w:tcW w:w="2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52,236 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(42,130)</w:t>
            </w:r>
          </w:p>
        </w:tc>
        <w:tc>
          <w:tcPr>
            <w:tcW w:w="15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($1.42 per share)</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2026</w:t>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($1.42 per share)</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 2026</w:t>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(41,941)</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Dividends declared and paid ($1.42 per share)</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(1,298)</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issued for stock-based awards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repurchases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Dividend equivalents on RSUs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September 30, 2026</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5,202</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54,282</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(41,955)</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tbl>
      <w:tblPr>
        <w:tblW w:w="10205" w:type="dxa"/>
        <w:jc w:val="left"/>
        <w:tblInd w:w="0" w:type="dxa"/>
        <w:tblLayout w:type="fixed"/>
        <w:tblCellMar>
          <w:top w:w="28" w:type="dxa"/>
          <w:left w:w="28" w:type="dxa"/>
          <w:bottom w:w="28" w:type="dxa"/>
          <w:right w:w="28" w:type="dxa"/>
        </w:tblCellMar>
      </w:tblPr>
      <w:tblGrid>
        <w:gridCol w:w="1224"/>
        <w:gridCol w:w="829"/>
        <w:gridCol w:w="832"/>
        <w:gridCol w:w="250"/>
        <w:gridCol w:w="768"/>
        <w:gridCol w:w="129"/>
        <w:gridCol w:w="109"/>
        <w:gridCol w:w="109"/>
        <w:gridCol w:w="109"/>
        <w:gridCol w:w="242"/>
        <w:gridCol w:w="743"/>
        <w:gridCol w:w="125"/>
        <w:gridCol w:w="109"/>
        <w:gridCol w:w="109"/>
        <w:gridCol w:w="109"/>
        <w:gridCol w:w="258"/>
        <w:gridCol w:w="920"/>
        <w:gridCol w:w="133"/>
        <w:gridCol w:w="109"/>
        <w:gridCol w:w="109"/>
        <w:gridCol w:w="109"/>
        <w:gridCol w:w="297"/>
        <w:gridCol w:w="1113"/>
        <w:gridCol w:w="153"/>
        <w:gridCol w:w="109"/>
        <w:gridCol w:w="109"/>
        <w:gridCol w:w="109"/>
        <w:gridCol w:w="211"/>
        <w:gridCol w:w="510"/>
        <w:gridCol w:w="160"/>
      </w:tblGrid>
      <w:tr>
        <w:trPr/>
        <w:tc>
          <w:tcPr>
            <w:tcW w:w="1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2024</w:t>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52,262 </w:t>
            </w:r>
          </w:p>
        </w:tc>
        <w:tc>
          <w:tcPr>
            <w:tcW w:w="1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(40,895)</w:t>
            </w:r>
          </w:p>
        </w:tc>
        <w:tc>
          <w:tcPr>
            <w:tcW w:w="15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($1.36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2025</w:t>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(41,442)</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($1.36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 2025</w:t>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52,249 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(41,676)</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($1.36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September 30, 2025</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(41,744)</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8. </w:t>
      </w:r>
      <w:r>
        <w:rPr>
          <w:rFonts w:ascii="Arial;sans-serif" w:hAnsi="Arial;sans-serif"/>
          <w:b w:val="false"/>
          <w:color w:val="000000"/>
          <w:sz w:val="20"/>
          <w:u w:val="single"/>
        </w:rPr>
        <w:t>Contingencies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Indemnification guarantees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Warranty costs/product liabilities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General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9. </w:t>
      </w:r>
      <w:r>
        <w:rPr>
          <w:rFonts w:ascii="Arial;sans-serif" w:hAnsi="Arial;sans-serif"/>
          <w:b w:val="false"/>
          <w:color w:val="000000"/>
          <w:sz w:val="20"/>
          <w:u w:val="single"/>
        </w:rPr>
        <w:t>Supplemental financial information</w:t>
      </w:r>
    </w:p>
    <w:p>
      <w:pPr>
        <w:pStyle w:val="TextBody"/>
        <w:bidi w:val="0"/>
        <w:spacing w:lineRule="auto" w:line="288" w:before="240" w:after="240"/>
        <w:jc w:val="left"/>
        <w:rPr>
          <w:rFonts w:ascii="Arial;sans-serif" w:hAnsi="Arial;sans-serif"/>
          <w:b w:val="false"/>
          <w:i/>
          <w:color w:val="000000"/>
          <w:sz w:val="20"/>
        </w:rPr>
      </w:pPr>
      <w:r>
        <w:rPr>
          <w:rFonts w:ascii="Arial;sans-serif" w:hAnsi="Arial;sans-serif"/>
          <w:b w:val="false"/>
          <w:i/>
          <w:color w:val="000000"/>
          <w:sz w:val="20"/>
        </w:rPr>
        <w:t>Acquisition of Silicon Labs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As announced on February 4, 2026, we have entered into a definitive agreement to acquire Silicon Labs for $231.00 per share in an all-cash transaction, representing a total enterprise value of approximately $7.5 billion. Under the terms of the agreement, Silicon Labs stockholders will receive $231.00 in cash for each share of Silicon Labs common stock they hold at the time of closing, which is expected in the first half of 2027, subject to receipt of regulatory approvals and other customary closing conditions. We expect to fund the transaction with a combination of cash on hand and debt financing. During the third quarter and first nine months of 2026, we incurred $7 million and $41 million of acquisition charges, respectively.</w:t>
      </w:r>
    </w:p>
    <w:tbl>
      <w:tblPr>
        <w:tblW w:w="6624" w:type="dxa"/>
        <w:jc w:val="left"/>
        <w:tblInd w:w="0" w:type="dxa"/>
        <w:tblLayout w:type="fixed"/>
        <w:tblCellMar>
          <w:top w:w="28" w:type="dxa"/>
          <w:left w:w="28" w:type="dxa"/>
          <w:bottom w:w="28" w:type="dxa"/>
          <w:right w:w="28" w:type="dxa"/>
        </w:tblCellMar>
      </w:tblPr>
      <w:tblGrid>
        <w:gridCol w:w="1396"/>
        <w:gridCol w:w="1227"/>
        <w:gridCol w:w="1231"/>
        <w:gridCol w:w="268"/>
        <w:gridCol w:w="823"/>
        <w:gridCol w:w="138"/>
        <w:gridCol w:w="109"/>
        <w:gridCol w:w="109"/>
        <w:gridCol w:w="109"/>
        <w:gridCol w:w="253"/>
        <w:gridCol w:w="776"/>
        <w:gridCol w:w="185"/>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240" w:after="240"/>
              <w:jc w:val="left"/>
              <w:rPr>
                <w:rFonts w:ascii="Arial;sans-serif" w:hAnsi="Arial;sans-serif"/>
                <w:b w:val="false"/>
                <w:i/>
                <w:color w:val="000000"/>
                <w:sz w:val="20"/>
              </w:rPr>
            </w:pPr>
            <w:r>
              <w:rPr>
                <w:rFonts w:ascii="Arial;sans-serif" w:hAnsi="Arial;sans-serif"/>
                <w:b w:val="false"/>
                <w:i/>
                <w:color w:val="000000"/>
                <w:sz w:val="20"/>
              </w:rPr>
              <w:t>Prepaid expenses and other 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CHIPS Act incentives</w:t>
            </w:r>
          </w:p>
        </w:tc>
        <w:tc>
          <w:tcPr>
            <w:tcW w:w="26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1,100</w:t>
            </w:r>
            <w:r>
              <w:rPr>
                <w:color w:val="000000"/>
              </w:rPr>
              <w:t> </w:t>
            </w:r>
          </w:p>
        </w:tc>
        <w:tc>
          <w:tcPr>
            <w:tcW w:w="13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1,709 </w:t>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1,446</w:t>
            </w:r>
            <w:r>
              <w:rPr>
                <w:color w:val="000000"/>
              </w:rPr>
              <w:t> </w:t>
            </w:r>
          </w:p>
        </w:tc>
        <w:tc>
          <w:tcPr>
            <w:tcW w:w="1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2,102 </w:t>
            </w:r>
          </w:p>
        </w:tc>
        <w:tc>
          <w:tcPr>
            <w:tcW w:w="1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84" w:type="dxa"/>
        <w:jc w:val="left"/>
        <w:tblInd w:w="0" w:type="dxa"/>
        <w:tblLayout w:type="fixed"/>
        <w:tblCellMar>
          <w:top w:w="28" w:type="dxa"/>
          <w:left w:w="28" w:type="dxa"/>
          <w:bottom w:w="28" w:type="dxa"/>
          <w:right w:w="28" w:type="dxa"/>
        </w:tblCellMar>
      </w:tblPr>
      <w:tblGrid>
        <w:gridCol w:w="765"/>
        <w:gridCol w:w="672"/>
        <w:gridCol w:w="677"/>
        <w:gridCol w:w="268"/>
        <w:gridCol w:w="823"/>
        <w:gridCol w:w="138"/>
        <w:gridCol w:w="109"/>
        <w:gridCol w:w="109"/>
        <w:gridCol w:w="109"/>
        <w:gridCol w:w="253"/>
        <w:gridCol w:w="776"/>
        <w:gridCol w:w="18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long-term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CHIPS Act incentives</w:t>
            </w:r>
          </w:p>
        </w:tc>
        <w:tc>
          <w:tcPr>
            <w:tcW w:w="26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w:t>
            </w:r>
            <w:r>
              <w:rPr>
                <w:color w:val="000000"/>
              </w:rPr>
              <w:t> </w:t>
            </w:r>
          </w:p>
        </w:tc>
        <w:tc>
          <w:tcPr>
            <w:tcW w:w="13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1,639 </w:t>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1,085</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2,121</w:t>
            </w:r>
            <w:r>
              <w:rPr>
                <w:color w:val="000000"/>
              </w:rPr>
              <w:t> </w:t>
            </w:r>
          </w:p>
        </w:tc>
        <w:tc>
          <w:tcPr>
            <w:tcW w:w="1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Details on amounts reclassified out of accumulated other comprehensive income (loss), net of taxes, to net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Consolidated Statements of Comprehensive Income include items that have been recognized within net income during the third quarters and first nine months of 2026 and 2025. The table below details where these transactions are recorded in our Consolidated Statements of Income.</w:t>
      </w:r>
    </w:p>
    <w:tbl>
      <w:tblPr>
        <w:tblW w:w="10205" w:type="dxa"/>
        <w:jc w:val="left"/>
        <w:tblInd w:w="0" w:type="dxa"/>
        <w:tblLayout w:type="fixed"/>
        <w:tblCellMar>
          <w:top w:w="28" w:type="dxa"/>
          <w:left w:w="28" w:type="dxa"/>
          <w:bottom w:w="28" w:type="dxa"/>
          <w:right w:w="28" w:type="dxa"/>
        </w:tblCellMar>
      </w:tblPr>
      <w:tblGrid>
        <w:gridCol w:w="1256"/>
        <w:gridCol w:w="941"/>
        <w:gridCol w:w="947"/>
        <w:gridCol w:w="237"/>
        <w:gridCol w:w="305"/>
        <w:gridCol w:w="122"/>
        <w:gridCol w:w="122"/>
        <w:gridCol w:w="122"/>
        <w:gridCol w:w="122"/>
        <w:gridCol w:w="237"/>
        <w:gridCol w:w="457"/>
        <w:gridCol w:w="122"/>
        <w:gridCol w:w="109"/>
        <w:gridCol w:w="109"/>
        <w:gridCol w:w="109"/>
        <w:gridCol w:w="232"/>
        <w:gridCol w:w="297"/>
        <w:gridCol w:w="119"/>
        <w:gridCol w:w="119"/>
        <w:gridCol w:w="119"/>
        <w:gridCol w:w="119"/>
        <w:gridCol w:w="232"/>
        <w:gridCol w:w="446"/>
        <w:gridCol w:w="119"/>
        <w:gridCol w:w="109"/>
        <w:gridCol w:w="109"/>
        <w:gridCol w:w="109"/>
        <w:gridCol w:w="852"/>
        <w:gridCol w:w="783"/>
        <w:gridCol w:w="1124"/>
      </w:tblGrid>
      <w:tr>
        <w:trPr/>
        <w:tc>
          <w:tcPr>
            <w:tcW w:w="125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Impact to Related Statement of Income Lines</w:t>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6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and settlement losses (a)</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OI&amp;E</w:t>
            </w:r>
          </w:p>
        </w:tc>
      </w:tr>
      <w:tr>
        <w:trPr/>
        <w:tc>
          <w:tcPr>
            <w:tcW w:w="3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w:t>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provision for income taxes</w:t>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 net of taxes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net income</w:t>
            </w:r>
          </w:p>
        </w:tc>
      </w:tr>
      <w:tr>
        <w:trPr/>
        <w:tc>
          <w:tcPr>
            <w:tcW w:w="31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(credit) of defined benefit plans:</w:t>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(a)</w:t>
            </w:r>
          </w:p>
        </w:tc>
        <w:tc>
          <w:tcPr>
            <w:tcW w:w="23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OI&amp;E</w:t>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provision for income taxes</w:t>
            </w:r>
          </w:p>
        </w:tc>
      </w:tr>
      <w:tr>
        <w:trPr/>
        <w:tc>
          <w:tcPr>
            <w:tcW w:w="3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 net of taxes</w:t>
            </w:r>
          </w:p>
        </w:tc>
        <w:tc>
          <w:tcPr>
            <w:tcW w:w="23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0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net income</w:t>
            </w:r>
          </w:p>
        </w:tc>
      </w:tr>
    </w:tbl>
    <w:p>
      <w:pPr>
        <w:pStyle w:val="TextBody"/>
        <w:bidi w:val="0"/>
        <w:spacing w:lineRule="auto" w:line="288" w:before="240" w:after="240"/>
        <w:ind w:left="0" w:right="0" w:hanging="360"/>
        <w:jc w:val="left"/>
        <w:rPr>
          <w:rFonts w:ascii="Arial;sans-serif" w:hAnsi="Arial;sans-serif"/>
          <w:b w:val="false"/>
          <w:color w:val="000000"/>
          <w:sz w:val="20"/>
        </w:rPr>
      </w:pPr>
      <w:r>
        <w:rPr>
          <w:rFonts w:ascii="Arial;sans-serif" w:hAnsi="Arial;sans-serif"/>
          <w:b w:val="false"/>
          <w:color w:val="000000"/>
          <w:sz w:val="20"/>
        </w:rPr>
        <w:t>(a)Detailed in Note 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Effect on shares outstanding and treasury shares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reflects the changes in treasury shares:</w:t>
      </w:r>
    </w:p>
    <w:tbl>
      <w:tblPr>
        <w:tblW w:w="4383" w:type="dxa"/>
        <w:jc w:val="left"/>
        <w:tblInd w:w="0" w:type="dxa"/>
        <w:tblLayout w:type="fixed"/>
        <w:tblCellMar>
          <w:top w:w="28" w:type="dxa"/>
          <w:left w:w="28" w:type="dxa"/>
          <w:bottom w:w="28" w:type="dxa"/>
          <w:right w:w="28" w:type="dxa"/>
        </w:tblCellMar>
      </w:tblPr>
      <w:tblGrid>
        <w:gridCol w:w="1336"/>
        <w:gridCol w:w="1174"/>
        <w:gridCol w:w="1179"/>
        <w:gridCol w:w="240"/>
        <w:gridCol w:w="241"/>
        <w:gridCol w:w="213"/>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January 1</w:t>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stock compensation</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w:t>
            </w:r>
          </w:p>
        </w:tc>
        <w:tc>
          <w:tcPr>
            <w:tcW w:w="6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w:t>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stock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w:t>
            </w:r>
          </w:p>
        </w:tc>
        <w:tc>
          <w:tcPr>
            <w:tcW w:w="69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Repurchases</w:t>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 issued for stock compensation</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September 30</w:t>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w:t>
            </w:r>
            <w:r>
              <w:rPr>
                <w:color w:val="000000"/>
              </w:rPr>
              <w:t>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strategy to maximize long-term free cash flow per share growth has three elements: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1.A great business model that is focused on analog and embedded processing products and built around four sustainable competitive advantages. The four sustainable competitive advantages are powerful in combination and provide tangible benefits: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 strong foundation of manufacturing and technology that provides lower costs and greater control of our supply chain.</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 broad portfolio of analog and embedded processing products that offers more opportunity per customer and more value for our investments.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(c)The reach of our market channels that gives access to more customers and more of their design projects, leading to better insight and knowledge of customer needs and the opportunity to sell more of our products into each design.</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(d)Diversity and longevity of our products, markets and customer positions that provide less single point dependency and longer returns on our investments.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2.Discipline in allocating capital to the best opportunities. This spans how we select R&amp;D projects, develop new capabilities, invest in manufacturing capacity or how we think about acquisitions and returning cash to our owners.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3.Efficiency, which means constantly striving for more output for every dollar spent.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and business characteristics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Markets for our products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markets for our products are industrial, automotive, data center, personal electronics and communications equipment. See our 2025 Form 10-K for more information. We refer to growth in the amount of semiconductor content in electronics as secular growth.</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Semiconductor cycle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semiconductor cycle refers to the ebb and flow of supply and demand and the building and depleting of inventories. It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Seasonality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revenue is subject to some seasonal variation. Historically, our sequential revenue growth rate tends to be weaker in the first and fourth quarters when compared with the second and third quarters.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Manufacturing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invest to make manufacturing and technology a core competitive advantage. The strategic decision to own our manufacturing, process and packaging technology provides us with tangible benefits of lower manufacturing costs and greater control of our supply chain and provides our customers with geopolitically dependable capacity. We own and operate both wafer fabrication and assembly/test facilities in North America, Asia, Japan and Europe. We have focused on creating a competitive structural cost advantage by investing in our 300mm wafer production, which describes the diameter of the wafer on which our chips are produced, and costs about 40% less than a chip built on a 200mm wafer. In addition, we selectively use capacity of outside suppliers, commonly known as foundries and subcontractors.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continue to invest to strengthen our competitive advantage in manufacturing and technology as part of our long-term capacity plan. We have invested in manufacturing capacity to support customer demand, enable external foundry transfers and prepare new factories to have cleanroom space available to support future growth. These investments have uniquely positioned TI to deliver dependable, low-cost 300mm capacity with the ability to equip and ramp factories to support customer demand. We believe this approach supports free cash flow per share growth across a range of market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our planned capacity expansions to support demand over time, we expect our internal sourcing to continue to increase. We expect to continue to maintain sufficient internal manufacturing capacity to meet the majority of our production needs and to obtain manufacturing equipment to support new technology developments and revenue growth.</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Inventory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We adjust factory loadings as needed to execute on this inventory strategy.</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When we discuss our results: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Unless otherwise noted, changes in our revenue are attributable to changes in customer demand, which are evidenced by fluctuations in shipment volumes. Upturns in the semiconductor cycle are often characterized by rising customer demand, which drives higher revenue, while downturns in the semiconductor cycle are characterized by weakening customer demand, which results in lower revenue.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New products do not tend to have a significant impact on our revenue in any given period because we sell such a large number of products.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From time to time, our revenue and gross profit are affected by changes in demand for higher-priced or lower-priced products, which we refer to as changes in the “mix” of products shipped.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LFAB facility, which primarily supports our Embedded Processing business, was purchased as an operating fab and is continuing to ramp production, so we expect factory loadings to increase over time. As LFAB ramps, we expect Embedded to carry manufacturing costs that disproportionately benefit Embedded Processing operating profit as compared to Analog.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For an explanation of free cash flow, see the Non-GAAP financial information section.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All dollar amounts in the tables are stated in millions of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Macroeconomic factors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quarter, we saw broad demand, with revenue growth across all end markets and regions. Secular growth of semiconductor content is continuing alongside a strong cyclical recovery. We are working closely with our customers to support them during this time of increased demand. We are executing to our long-term manufacturing plan, and our investments have positioned us to ramp our factories to support revenue growth.</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Performance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third quarter revenue was $6.06 billion, net income was $2.43 billion and earnings per share (EPS) were $2.62.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increased 11% sequentially and 28% from the same quarter a year ago with continued broad growth in industrial, automotive and data center.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cash flow from operations of $9.9 billion for the trailing 12 months again underscored the strength of our business model, the quality of our product portfolio and the benefit of 300mm production. Free cash flow for the same period was $8.4 billion.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Over the past 12 months we invested $4.0 billion in R&amp;D and SG&amp;A, invested $2.6 billion in capital expenditures and returned $5.8 billion to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Details of financial results – third quarter 2026 compared with third quarter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of $6.06 billion increased $1.31 billion, or 28%, due to increased demand in our Analog segment and, to a lesser extent, in our Embedded Processing segment.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Gross profit of $3.89 billion was up $1.16 billion, or 43%, primarily due to higher revenue. As a percentage of revenue, gross profit increased to 64.2% from 57.4%.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expenses (R&amp;D and SG&amp;A) were $1.01 billion compared with $975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Acquisition charges were $7 million due to transaction-related costs associated with our planned 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Restructuring charges/other in the year-ago period was $85 million related to efforts to drive operational efficiencies to support our long-term strategy, including the closure of our remaining 150mm production.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profit was $2.87 billion, or 47.5% of revenue, compared with $1.66 billion, or 35.1% of revenue. This change was primarily due to higher revenue and associated gross profit.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OI&amp;E was $72 million of income compared with $62 million of income. This increase was primarily due to higher 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was $141 million in both periods. See Note 6 to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provision for income taxes was $380 million compared with $220 million. This increase was primarily due to higher income before income taxes. Our effective tax rate, which includes discrete tax items, was 14% in both periods.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$2.43 billion compared with $1.36 billion. EPS was $2.62 compared with $1.48.</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Third quarter 2026 segment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segment results compared with the year-ago quarter are as follows: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Analog (includes Power and Signal Chain product lines)</w:t>
      </w:r>
    </w:p>
    <w:tbl>
      <w:tblPr>
        <w:tblW w:w="6448"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188"/>
        <w:gridCol w:w="18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4,911</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Analog revenue increased in both product lines, led by Signal Chain, due to higher demand, which was impacted by the macroeconomic factors discussed above. Operating profit increased primarily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Embedded Processing (includes microcontrollers and processors)</w:t>
      </w:r>
    </w:p>
    <w:tbl>
      <w:tblPr>
        <w:tblW w:w="6223" w:type="dxa"/>
        <w:jc w:val="left"/>
        <w:tblInd w:w="0" w:type="dxa"/>
        <w:tblLayout w:type="fixed"/>
        <w:tblCellMar>
          <w:top w:w="28" w:type="dxa"/>
          <w:left w:w="28" w:type="dxa"/>
          <w:bottom w:w="28" w:type="dxa"/>
          <w:right w:w="28" w:type="dxa"/>
        </w:tblCellMar>
      </w:tblPr>
      <w:tblGrid>
        <w:gridCol w:w="967"/>
        <w:gridCol w:w="848"/>
        <w:gridCol w:w="855"/>
        <w:gridCol w:w="211"/>
        <w:gridCol w:w="481"/>
        <w:gridCol w:w="286"/>
        <w:gridCol w:w="109"/>
        <w:gridCol w:w="109"/>
        <w:gridCol w:w="109"/>
        <w:gridCol w:w="211"/>
        <w:gridCol w:w="481"/>
        <w:gridCol w:w="286"/>
        <w:gridCol w:w="109"/>
        <w:gridCol w:w="109"/>
        <w:gridCol w:w="109"/>
        <w:gridCol w:w="240"/>
        <w:gridCol w:w="241"/>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Embedded Processing revenue increased due to higher demand, which was impacted by the macroeconomic factors discussed above. Operating profit increased primarily due to higher revenue and associated gross profit.</w:t>
      </w:r>
    </w:p>
    <w:p>
      <w:pPr>
        <w:pStyle w:val="TextBody"/>
        <w:bidi w:val="0"/>
        <w:spacing w:lineRule="auto" w:line="288" w:before="240" w:after="283"/>
        <w:jc w:val="left"/>
        <w:rPr/>
      </w:pPr>
      <w:r>
        <w:rPr>
          <w:rFonts w:ascii="Arial;sans-serif" w:hAnsi="Arial;sans-serif"/>
          <w:b w:val="false"/>
          <w:i/>
          <w:color w:val="000000"/>
          <w:sz w:val="20"/>
        </w:rPr>
        <w:t>Other (includes DLP</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products and calculators)</w:t>
      </w:r>
    </w:p>
    <w:tbl>
      <w:tblPr>
        <w:tblW w:w="6223" w:type="dxa"/>
        <w:jc w:val="left"/>
        <w:tblInd w:w="0" w:type="dxa"/>
        <w:tblLayout w:type="fixed"/>
        <w:tblCellMar>
          <w:top w:w="28" w:type="dxa"/>
          <w:left w:w="28" w:type="dxa"/>
          <w:bottom w:w="28" w:type="dxa"/>
          <w:right w:w="28" w:type="dxa"/>
        </w:tblCellMar>
      </w:tblPr>
      <w:tblGrid>
        <w:gridCol w:w="968"/>
        <w:gridCol w:w="847"/>
        <w:gridCol w:w="855"/>
        <w:gridCol w:w="211"/>
        <w:gridCol w:w="481"/>
        <w:gridCol w:w="286"/>
        <w:gridCol w:w="109"/>
        <w:gridCol w:w="109"/>
        <w:gridCol w:w="109"/>
        <w:gridCol w:w="211"/>
        <w:gridCol w:w="481"/>
        <w:gridCol w:w="286"/>
        <w:gridCol w:w="109"/>
        <w:gridCol w:w="109"/>
        <w:gridCol w:w="109"/>
        <w:gridCol w:w="240"/>
        <w:gridCol w:w="241"/>
        <w:gridCol w:w="462"/>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*Includes Acquisition charges and Restructuring charges/other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Other revenue decreased $18 million, and operating profit increased $73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Details of financial results – first nine months of 2026 compared with first nine months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of $16.34 billion increased $3.08 billion, or 23%, due to increased demand in our Analog segment and, to a lesser extent, in our Embedded Processing segment.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Gross profit of $10.04 billion was up $2.43 billion, or 32%, primarily due to higher revenue, partially offset by higher manufacturing costs associated with our planned capacity expansions. As a percentage of revenue, gross profit increased to 61.4% from 57.4%.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expenses were $3.01 billion compared with $2.98 billion.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Acquisition charges were $41 million due to transaction-related costs associated with our planned 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Restructuring charges/other in the year-ago period was $85 million related to efforts to drive operational efficiencies to support our long-term strategy, including the closure of our remaining 150mm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profit was $6.99 billion, or 42.8% of revenue, compared with $4.55 billion, or 34.3% of revenue. This change was primarily due to higher revenue and associated gross profit.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OI&amp;E was $188 million of income compared with $190 million of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of $423 million increased $21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provision for income taxes was $807 million compared with $500 million. This increase was primarily due to higher income before income taxes. Our effective tax rate, which includes discrete tax items, was 12% in both periods.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$5.95 billion compared with $3.84 billion. EPS was $6.44 compared with $4.18.</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Year-to-date segment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segment results compared with the year-ago period are as follows: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Analog</w:t>
      </w:r>
    </w:p>
    <w:tbl>
      <w:tblPr>
        <w:tblW w:w="6658" w:type="dxa"/>
        <w:jc w:val="left"/>
        <w:tblInd w:w="0" w:type="dxa"/>
        <w:tblLayout w:type="fixed"/>
        <w:tblCellMar>
          <w:top w:w="28" w:type="dxa"/>
          <w:left w:w="28" w:type="dxa"/>
          <w:bottom w:w="28" w:type="dxa"/>
          <w:right w:w="28" w:type="dxa"/>
        </w:tblCellMar>
      </w:tblPr>
      <w:tblGrid>
        <w:gridCol w:w="967"/>
        <w:gridCol w:w="848"/>
        <w:gridCol w:w="855"/>
        <w:gridCol w:w="211"/>
        <w:gridCol w:w="751"/>
        <w:gridCol w:w="286"/>
        <w:gridCol w:w="109"/>
        <w:gridCol w:w="109"/>
        <w:gridCol w:w="109"/>
        <w:gridCol w:w="211"/>
        <w:gridCol w:w="751"/>
        <w:gridCol w:w="286"/>
        <w:gridCol w:w="109"/>
        <w:gridCol w:w="109"/>
        <w:gridCol w:w="109"/>
        <w:gridCol w:w="188"/>
        <w:gridCol w:w="18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13,200</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10,391 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Analog revenue increased in both product lines, led by Signal Chain, due to higher demand. Operating profit increased primarily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Embedded Processing</w:t>
      </w:r>
    </w:p>
    <w:tbl>
      <w:tblPr>
        <w:tblW w:w="6553"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240"/>
        <w:gridCol w:w="241"/>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2,369</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Embedded Processing revenue increased due to higher demand. Operating profit increased primarily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w:t>
      </w:r>
    </w:p>
    <w:tbl>
      <w:tblPr>
        <w:tblW w:w="6118" w:type="dxa"/>
        <w:jc w:val="left"/>
        <w:tblInd w:w="0" w:type="dxa"/>
        <w:tblLayout w:type="fixed"/>
        <w:tblCellMar>
          <w:top w:w="28" w:type="dxa"/>
          <w:left w:w="28" w:type="dxa"/>
          <w:bottom w:w="28" w:type="dxa"/>
          <w:right w:w="28" w:type="dxa"/>
        </w:tblCellMar>
      </w:tblPr>
      <w:tblGrid>
        <w:gridCol w:w="968"/>
        <w:gridCol w:w="847"/>
        <w:gridCol w:w="855"/>
        <w:gridCol w:w="211"/>
        <w:gridCol w:w="481"/>
        <w:gridCol w:w="286"/>
        <w:gridCol w:w="109"/>
        <w:gridCol w:w="109"/>
        <w:gridCol w:w="109"/>
        <w:gridCol w:w="211"/>
        <w:gridCol w:w="481"/>
        <w:gridCol w:w="286"/>
        <w:gridCol w:w="109"/>
        <w:gridCol w:w="109"/>
        <w:gridCol w:w="109"/>
        <w:gridCol w:w="188"/>
        <w:gridCol w:w="188"/>
        <w:gridCol w:w="462"/>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774</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*Includes Acquisition charges and Restructuring charges/other</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Other revenue decreased $59 million, and operating profit increased $40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At the end of the third quarter of 2026, total cash (cash and cash equivalents plus short-term investments) was $8.14 billion, an increase of $3.26 billion from the end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Accounts receivable were $2.62 billion, an increase of $657 million compared with the end of 2025. Days sales outstanding in the third quarter of 2026 were 39 compared with 40 at the end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Inventory was $4.67 billion, a decrease of $132 million from the end of 2025. Days of inventory for the third quarter of 2026 were 194 compared with 222 at the end of 2025, which reflects the continued execution of our inventory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primary source of liquidity is cash flow from operations. Additional sources of liquidity are cash and cash equivalents, short-term investments and access to debt markets. We also have a variable-rate, revolving credit facility. As of September 30, 2026, our credit facility was undrawn, and we had no commercial paper outstanding. Cash flows from operating activities for the first nine months of 2026 were $7.64 billion, an increase of $2.74 billion from the year-ago period due to higher net income and non-cash items, as well as lower cash used for working capital. Cash flows from operating activities for the first nine months of 2026 and 2025 include cash benefits of $380 million and $246 million, respectively, from the U.S. CHIPS and Science Act (CHIPS Act) investment tax credit (ITC) used to reduce income taxes payable.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Investing activities for the first nine months of 2026 used $2.74 billion compared with $763 million in the year-ago period. Capital expenditures were $1.65 billion compared with $3.63 billion in the year-ago period and were primarily for semiconductor manufacturing equipment and facilities in both periods. In 2026, CHIPS Act incentives provided cash proceeds of $1.10 billion compared with $335 million in the year-ago period. Short-term investments used cash of $2.23 billion compared with $2.55 billion of cash provided in the year-ago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Consistent with our capital management strategy, we expect between $2 billion to $3 billion of capital expenditures in 2026. Beyond 2026, capital expenditures will be dependent on revenue and growth expectations. We expect to continue benefiting from the CHIPS Act. This includes the 35% ITC on qualifying manufacturing investments as well as direct funding of up to $1.6 billion, of which we have received $630 million, for our three large-scale 300mm wafer fabs located in Sherman, Texas, and Lehi, Utah.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2026, we announced we would increase our quarterly cash dividend by 7% to $1.52 per share, marking 23 consecutive years of dividend increases.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Financing activities for the first nine months of 2026 used $3.92 billion compared with $4.03 billion in the year-ago period. We retired maturing debt of $500 million. In the year-ago period, we received net proceeds of $1.20 billion from the issuance of fixed-rate, long-term debt and retired maturing debt of $750 million. Dividends paid were $3.88 billion compared with $3.71 billion in the year-ago period, reflecting an increased dividend rate. We used $233 million to repurchase 1.1 million shares of our common stock compared with $1.07 billion to repurchase 6.1 million shares in the year-ago period. Employee exercises of stock options provided cash proceeds of $770 million compared with $358 million in the year-ago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$4.21 billion of cash and cash equivalents and $3.93 billion of short-term investments as of September 30, 2026. We believe we have the necessary financial resources and operating plans to fund our working capital needs, capital expenditures, dividend and debt-related payments, and other business requirements for at least the next 12 months.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announced on February 4, 2026, we have entered into a definitive agreement to acquire Silicon Labs for $231.00 per share in an all-cash transaction, representing a total enterprise value of approximately $7.5 billion. Under the terms of the agreement, Silicon Labs stockholders will receive $231.00 in cash for each share of Silicon Labs common stock they hold at the time of closing, which is expected in the first half of 2027, subject to receipt of regulatory approvals and other customary closing conditions. We expect to fund the transaction with a combination of cash on hand and debt financing.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June 2026, we entered into a 364-day delayed draw term loan credit facility for borrowings up to $5 billion to support the Silicon Labs acquisition consideration and related transaction expenses. As of September 30, 2026, there were no outstanding borrowings on the delayed draw term loan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9642" w:type="dxa"/>
        <w:jc w:val="left"/>
        <w:tblInd w:w="0" w:type="dxa"/>
        <w:tblLayout w:type="fixed"/>
        <w:tblCellMar>
          <w:top w:w="28" w:type="dxa"/>
          <w:left w:w="28" w:type="dxa"/>
          <w:bottom w:w="28" w:type="dxa"/>
          <w:right w:w="28" w:type="dxa"/>
        </w:tblCellMar>
      </w:tblPr>
      <w:tblGrid>
        <w:gridCol w:w="2010"/>
        <w:gridCol w:w="1767"/>
        <w:gridCol w:w="1772"/>
        <w:gridCol w:w="211"/>
        <w:gridCol w:w="751"/>
        <w:gridCol w:w="286"/>
        <w:gridCol w:w="109"/>
        <w:gridCol w:w="109"/>
        <w:gridCol w:w="109"/>
        <w:gridCol w:w="211"/>
        <w:gridCol w:w="751"/>
        <w:gridCol w:w="286"/>
        <w:gridCol w:w="109"/>
        <w:gridCol w:w="109"/>
        <w:gridCol w:w="109"/>
        <w:gridCol w:w="240"/>
        <w:gridCol w:w="241"/>
        <w:gridCol w:w="462"/>
      </w:tblGrid>
      <w:tr>
        <w:trPr/>
        <w:tc>
          <w:tcPr>
            <w:tcW w:w="20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12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 *</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9,896</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8,422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*Includes cash benefits of $469 million and $302 million from the CHIPS Act ITC used to reduce income taxes payable for the twelve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Information with respect to legal proceedings can be found in Note 8 to the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 regulation, we have elected to use a disclosure threshold of $1 million in monetary sanctions for environmental proceedings involving a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Information concerning our risk factors is contained in Item 1A of our Form 10-K for the year ended December 31, 2025,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The following table contains information regarding our purchases of our common stock during the quarter.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681"/>
        <w:gridCol w:w="286"/>
        <w:gridCol w:w="286"/>
        <w:gridCol w:w="109"/>
        <w:gridCol w:w="109"/>
        <w:gridCol w:w="109"/>
        <w:gridCol w:w="612"/>
        <w:gridCol w:w="425"/>
        <w:gridCol w:w="426"/>
        <w:gridCol w:w="109"/>
        <w:gridCol w:w="109"/>
        <w:gridCol w:w="109"/>
        <w:gridCol w:w="255"/>
        <w:gridCol w:w="908"/>
        <w:gridCol w:w="131"/>
        <w:gridCol w:w="109"/>
        <w:gridCol w:w="109"/>
        <w:gridCol w:w="109"/>
        <w:gridCol w:w="829"/>
        <w:gridCol w:w="692"/>
        <w:gridCol w:w="694"/>
        <w:gridCol w:w="109"/>
        <w:gridCol w:w="109"/>
        <w:gridCol w:w="109"/>
        <w:gridCol w:w="384"/>
        <w:gridCol w:w="1177"/>
        <w:gridCol w:w="198"/>
        <w:gridCol w:w="425"/>
        <w:gridCol w:w="198"/>
        <w:gridCol w:w="290"/>
      </w:tblGrid>
      <w:tr>
        <w:trPr/>
        <w:tc>
          <w:tcPr>
            <w:tcW w:w="6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(a)</w:t>
            </w:r>
          </w:p>
        </w:tc>
      </w:tr>
      <w:tr>
        <w:trPr/>
        <w:tc>
          <w:tcPr>
            <w:tcW w:w="125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1 - 31,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11,900 </w:t>
            </w:r>
          </w:p>
        </w:tc>
        <w:tc>
          <w:tcPr>
            <w:tcW w:w="4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277.29 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11,900 </w:t>
            </w:r>
          </w:p>
        </w:tc>
        <w:tc>
          <w:tcPr>
            <w:tcW w:w="6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9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84,882 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12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87,088 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265.20 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87,088 </w:t>
            </w:r>
          </w:p>
        </w:tc>
        <w:tc>
          <w:tcPr>
            <w:tcW w:w="6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 (b)</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183,870 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183,870 </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open-market purchases during the quarter were made under the authorizations from our board of directors to purchase up to $12.0 billion and $15.0 billion of additional shares of TI common stock announced September 20, 2018, and September 15, 2022, respectively. No expiration date has been specified for these authorizations.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(b)As of September 30, 2026, this amount consisted of the remaining portion of the $12.0 billion authorized in September 2018 and the $15.0 billion authorized in September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3"/>
        <w:gridCol w:w="592"/>
        <w:gridCol w:w="595"/>
        <w:gridCol w:w="109"/>
        <w:gridCol w:w="109"/>
        <w:gridCol w:w="109"/>
        <w:gridCol w:w="2439"/>
        <w:gridCol w:w="2308"/>
        <w:gridCol w:w="3271"/>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Designation of Exhibits in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Restated Certificate of Incorporation of the Registrant, dated April 18, 1985, as amended (incorporated by reference to Exhibit 3(a) of the Registrant’s Annual Report on Form 10-K for the year ended December 31, 2014).</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By-Laws of the Registrant (incorporated by reference to Exhibit 3.1 of the Registrant’s Current Report on Form 8-K filed February 6, 2026).</w:t>
              </w:r>
            </w:hyperlink>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32026txnex10a.htm">
              <w:r>
                <w:rPr>
                  <w:rStyle w:val="InternetLink"/>
                  <w:rFonts w:ascii="Arial;sans-serif" w:hAnsi="Arial;sans-serif"/>
                  <w:b w:val="false"/>
                  <w:color w:val="0000FF"/>
                  <w:sz w:val="20"/>
                  <w:u w:val="single"/>
                </w:rPr>
                <w:t>Form of Executive Officer Separation Agreement.†</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32026txnex31a.htm">
              <w:r>
                <w:rPr>
                  <w:rStyle w:val="InternetLink"/>
                  <w:rFonts w:ascii="Arial;sans-serif" w:hAnsi="Arial;sans-serif"/>
                  <w:b w:val="false"/>
                  <w:color w:val="0000FF"/>
                  <w:sz w:val="20"/>
                  <w:u w:val="single"/>
                </w:rPr>
                <w:t>Certification of Chief Executive Officer of Periodic Report Pursuant to Rule 13a-14(a) or Rule 15d-14(a).†</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32026txnex31b.htm">
              <w:r>
                <w:rPr>
                  <w:rStyle w:val="InternetLink"/>
                  <w:rFonts w:ascii="Arial;sans-serif" w:hAnsi="Arial;sans-serif"/>
                  <w:b w:val="false"/>
                  <w:color w:val="0000FF"/>
                  <w:sz w:val="20"/>
                  <w:u w:val="single"/>
                </w:rPr>
                <w:t>Certification of Chief Financial Officer of Periodic Report Pursuant to Rule 13a-14(a) or Rule 15d-14(a).†</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32026txnex32a.htm">
              <w:r>
                <w:rPr>
                  <w:rStyle w:val="InternetLink"/>
                  <w:rFonts w:ascii="Arial;sans-serif" w:hAnsi="Arial;sans-serif"/>
                  <w:b w:val="false"/>
                  <w:color w:val="0000FF"/>
                  <w:sz w:val="20"/>
                  <w:u w:val="single"/>
                </w:rPr>
                <w:t>Certification by Chief Executive Officer of Periodic Report Pursuant to 18 U.S.C. Section 1350.†</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32026txnex32b.htm">
              <w:r>
                <w:rPr>
                  <w:rStyle w:val="InternetLink"/>
                  <w:rFonts w:ascii="Arial;sans-serif" w:hAnsi="Arial;sans-serif"/>
                  <w:b w:val="false"/>
                  <w:color w:val="0000FF"/>
                  <w:sz w:val="20"/>
                  <w:u w:val="single"/>
                </w:rPr>
                <w:t>Certification by Chief Financial Officer of Periodic Report Pursuant to 18 U.S.C. Section 1350.†</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Instance Document – the instance document does not appear in the Interactive Data File because its XBRL tags are embedded within the Inline XBRL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Definition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Schema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Calculation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Label Linkbase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Presentation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Cover Page Interactive Data File (embedded within the Inline XBRL document).†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Filed or 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Economic, social and political conditions, and natural events in the countries in which we, our customers or our suppliers operate, including global trade policies;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retain, train and recruit skilled personnel and effectively manage key employee succession;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Financial difficulties of our distributors or semiconductor distributors’ promotion of competing product lines to our detriment; or disputes with current or former distributors;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make principal and interest payments on our debt when due;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Impairments of our non-financial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263" w:type="dxa"/>
        <w:jc w:val="left"/>
        <w:tblInd w:w="0" w:type="dxa"/>
        <w:tblLayout w:type="fixed"/>
        <w:tblCellMar>
          <w:top w:w="28" w:type="dxa"/>
          <w:left w:w="28" w:type="dxa"/>
          <w:bottom w:w="28" w:type="dxa"/>
          <w:right w:w="28" w:type="dxa"/>
        </w:tblCellMar>
      </w:tblPr>
      <w:tblGrid>
        <w:gridCol w:w="124"/>
        <w:gridCol w:w="109"/>
        <w:gridCol w:w="109"/>
        <w:gridCol w:w="412"/>
        <w:gridCol w:w="412"/>
        <w:gridCol w:w="412"/>
        <w:gridCol w:w="881"/>
        <w:gridCol w:w="881"/>
        <w:gridCol w:w="881"/>
        <w:gridCol w:w="881"/>
        <w:gridCol w:w="881"/>
        <w:gridCol w:w="1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3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Julie Knecht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Julie Knecht,</w:t>
            </w:r>
            <w:r>
              <w:rPr>
                <w:color w:val="000000"/>
              </w:rPr>
              <w:t xml:space="preserve"> </w:t>
            </w:r>
            <w:r>
              <w:rPr>
                <w:rFonts w:ascii="Arial;sans-serif" w:hAnsi="Arial;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Date: October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Separation Agreement and General Release</w:t>
      </w:r>
      <w:r>
        <w:rPr>
          <w:rFonts w:ascii="Times New Roman;serif" w:hAnsi="Times New Roman;serif"/>
          <w:b/>
          <w:color w:val="000000"/>
          <w:sz w:val="16"/>
        </w:rPr>
        <w:t>1</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This Separation Agreement and General Release (“Agreement”) is entered into between Texas Instruments Incorporated (“TI”) and [executive officer name] ("Employee”), sometimes referred to collectively herein as the “parties.”</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This Agreement is offered to employees above a certain job grade level, including executive officers, at TI’s discretion.</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This Agreement is made in consideration of the parties’ mutual desire to amicably terminate their employment relationship and the parties’ recognition of TI’s need to protect its legitimate business interests including its confidential information and trade secrets, business strategies, reputation, market share, business relationships, employee information, customer information and goodwill. In consideration of the mutual promises set out in this Agreement and for other good and valuable consideration, the receipt and sufficiency of which the parties acknowledge, TI and Employee agree as follows:</w:t>
      </w:r>
    </w:p>
    <w:p>
      <w:pPr>
        <w:pStyle w:val="TextBody"/>
        <w:bidi w:val="0"/>
        <w:spacing w:lineRule="auto" w:line="288"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1.TI Promises</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In exchange for the promises contained in this Agreement and release of claims as set forth below, TI will provide Employee the following:</w:t>
      </w:r>
    </w:p>
    <w:p>
      <w:pPr>
        <w:pStyle w:val="TextBody"/>
        <w:bidi w:val="0"/>
        <w:spacing w:lineRule="auto" w:line="288" w:before="24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LOAs</w:t>
      </w:r>
      <w:r>
        <w:rPr>
          <w:rFonts w:ascii="Times New Roman;serif" w:hAnsi="Times New Roman;serif"/>
          <w:b w:val="false"/>
          <w:color w:val="000000"/>
          <w:sz w:val="24"/>
        </w:rPr>
        <w:t>. If Employee accepts this Agreement (and does not revoke that acceptance), Employee will be placed on a paid leave of absence for one year (“Paid LOA”) beginning [Job Release Date + 1 day] and ending on [1 year after Job Release Date]. Employee will then be placed on an unpaid bridge-to-retirement leave of absence (the “Bridge LOA,” together with the Paid LOA, the “LOAs”) until Employee’s 55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birthday. Employee will remain an employee of TI during the LOAs and, at the conclusion of the LOAs, Employee will terminate from employment with TI.</w: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 During Paid LOA</w:t>
      </w:r>
      <w:r>
        <w:rPr>
          <w:rFonts w:ascii="Times New Roman;serif" w:hAnsi="Times New Roman;serif"/>
          <w:b w:val="false"/>
          <w:color w:val="000000"/>
          <w:sz w:val="24"/>
        </w:rPr>
        <w:t>. During the Paid LOA, TI will pay Employee separation pay at the rate of Employee’s current base salary, less applicable withholdings, on TI’s regular payroll dates. This separation pay is not considered eligible earnings for purposes of any TI pension, profit sharing, 401(k) savings, and/or deferred compensation plans. TI shall make the payments to Employee during the Paid LOA by direct deposit and shall mail the paystubs for each payment to the home address Employee has on file with TI. Each salary payment Employee receives during the Paid LOA will be treated as a separate payment for purposes of Section 409A of the Internal Revenue Code of 1986, as amended (“Section 409A”), with the first payment being made on the first scheduled payroll date following the beginning of the Paid LOA and the last payment being made on the first payroll date occurring on or after the end of the Paid LOA.</w:t>
      </w:r>
    </w:p>
    <w:p>
      <w:pPr>
        <w:pStyle w:val="TextBody"/>
        <w:bidi w:val="0"/>
        <w:spacing w:lineRule="auto" w:line="288"/>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form</w:t>
      </w:r>
      <w:r>
        <w:rPr>
          <w:color w:val="000000"/>
        </w:rPr>
        <w:t xml:space="preserve"> </w:t>
      </w:r>
      <w:r>
        <w:rPr>
          <w:rFonts w:ascii="Times New Roman;serif" w:hAnsi="Times New Roman;serif"/>
          <w:b w:val="false"/>
          <w:color w:val="000000"/>
          <w:sz w:val="20"/>
        </w:rPr>
        <w:t>agreement</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modified</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needed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comply</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local</w:t>
      </w:r>
      <w:r>
        <w:rPr>
          <w:color w:val="000000"/>
        </w:rPr>
        <w:t xml:space="preserve"> </w:t>
      </w:r>
      <w:r>
        <w:rPr>
          <w:rFonts w:ascii="Times New Roman;serif" w:hAnsi="Times New Roman;serif"/>
          <w:b w:val="false"/>
          <w:color w:val="000000"/>
          <w:sz w:val="20"/>
        </w:rPr>
        <w:t>law</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individualized</w:t>
      </w:r>
      <w:r>
        <w:rPr>
          <w:color w:val="000000"/>
        </w:rPr>
        <w:t xml:space="preserve"> </w:t>
      </w:r>
      <w:r>
        <w:rPr>
          <w:rFonts w:ascii="Times New Roman;serif" w:hAnsi="Times New Roman;serif"/>
          <w:b w:val="false"/>
          <w:color w:val="000000"/>
          <w:sz w:val="20"/>
        </w:rPr>
        <w:t>circumstances.</w:t>
      </w:r>
      <w:r>
        <w:rPr>
          <w:color w:val="000000"/>
        </w:rPr>
        <w:t xml:space="preserve"> </w:t>
      </w:r>
      <w:r>
        <w:rPr>
          <w:rFonts w:ascii="Times New Roman;serif" w:hAnsi="Times New Roman;serif"/>
          <w:b w:val="false"/>
          <w:color w:val="000000"/>
          <w:sz w:val="20"/>
        </w:rPr>
        <w:t>Nothing in</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Agreement</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policy</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agreement</w:t>
      </w:r>
      <w:r>
        <w:rPr>
          <w:color w:val="000000"/>
        </w:rPr>
        <w:t xml:space="preserve"> </w:t>
      </w:r>
      <w:r>
        <w:rPr>
          <w:rFonts w:ascii="Times New Roman;serif" w:hAnsi="Times New Roman;serif"/>
          <w:b w:val="false"/>
          <w:color w:val="000000"/>
          <w:sz w:val="20"/>
        </w:rPr>
        <w:t>applicable</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Employee</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intended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shall,</w:t>
      </w:r>
      <w:r>
        <w:rPr>
          <w:color w:val="000000"/>
        </w:rPr>
        <w:t xml:space="preserve"> </w:t>
      </w:r>
      <w:r>
        <w:rPr>
          <w:rFonts w:ascii="Times New Roman;serif" w:hAnsi="Times New Roman;serif"/>
          <w:b w:val="false"/>
          <w:color w:val="000000"/>
          <w:sz w:val="20"/>
        </w:rPr>
        <w:t>waive</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interfere with Employee’s legal rights or obligations.</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Benefits Continued During LOAs</w:t>
      </w:r>
      <w:r>
        <w:rPr>
          <w:rFonts w:ascii="Times New Roman;serif" w:hAnsi="Times New Roman;serif"/>
          <w:b w:val="false"/>
          <w:color w:val="000000"/>
          <w:sz w:val="24"/>
        </w:rPr>
        <w:t>. During the LOAs, Employee will continue to be eligible for participation in certain of TI’s benefit programs (provided that Employee was participating in such programs as of the beginning of the LOAs), including: (i) medical insurance (including the employee assistance program); (ii) dental insurance; (iii) vision insurance; (iv) life insurance; and (v) accidental death and dismemberment insurance. Employee’s coverage and payroll deductions for premium contributions will continue under the active plans and premium rate structure during the Paid LOA, and Employee will be billed for premiums under the active plans during the Bridge LOA. Benefits will be provided under TI’s then-current plans, and TI reserves the right to modify or discontinue any or all of its benefit plans at any time, and to increase premiums for plan participants. Employee’s eligibility and deductions for 401(k) loans, ESPP (current offering only), Health Savings Account, Health Care Spending Account, Dental and Vision Spending Account and Dependent Daycare Spending Account will continue during the Paid LOA. While on the LOAs, Employee may change benefit program elections during any enrollment period or as a result of a change in status as permitted by the associated TI plans and policies. To the extent any benefits received by Employee during the LOAs are taxable to Employee, such benefits shall, for purposes of Section 409A, be provided as separate monthly in-kind payments, and to the extent those benefits are subject to and not otherwise excepted from Section 409A, the provision of the in-kind benefits during one calendar year shall not affect the in-kind benefits to be provided in any other calendar year.</w: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Benefits Discontinued During LOAs</w:t>
      </w:r>
      <w:r>
        <w:rPr>
          <w:rFonts w:ascii="Times New Roman;serif" w:hAnsi="Times New Roman;serif"/>
          <w:b w:val="false"/>
          <w:color w:val="000000"/>
          <w:sz w:val="24"/>
        </w:rPr>
        <w:t xml:space="preserve">. The following benefits will terminate at the beginning of the Paid LOA: (i) Time Bank accrual; and (ii) coverage/participation, deductions and benefit payments for disability benefits under the Disability Benefit Plan of Texas Instruments Incorporated (the “Disability Plan”). There will be no deductions from separation pay for elected contributions for 401(k) savings and/or deferred compensation plans; however, if any eligible earnings are paid after the start of the Paid LOA (such as profit sharing), they will be subject to any deduction elections in effect at the time of payment under TI’s 401(k) savings and/or deferred compensation plans. </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Outplacement Services</w:t>
      </w:r>
      <w:r>
        <w:rPr>
          <w:rFonts w:ascii="Times New Roman;serif" w:hAnsi="Times New Roman;serif"/>
          <w:b w:val="false"/>
          <w:color w:val="000000"/>
          <w:sz w:val="24"/>
        </w:rPr>
        <w:t>. TI will provide Employee with outplacement consulting services through [contact information], beginning on or before the start of the Paid LOA and continuing for one year.</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Educational Assistance.</w:t>
      </w:r>
      <w:r>
        <w:rPr>
          <w:color w:val="000000"/>
        </w:rPr>
        <w:t xml:space="preserve"> </w:t>
      </w:r>
      <w:r>
        <w:rPr>
          <w:rFonts w:ascii="Times New Roman;serif" w:hAnsi="Times New Roman;serif"/>
          <w:b w:val="false"/>
          <w:color w:val="000000"/>
          <w:sz w:val="24"/>
        </w:rPr>
        <w:t>In consideration of Employee’s acceptance of this Agreement, Employee will also be eligible for up to $6,000 reimbursement (less applicable taxes and withholdings) for education courses (classes or training) by legitimate providers in potential career areas. To be eligible for reimbursement for a course, the course must be completed within 24 months of beginning the Paid LOA. Reimbursement covers tuition for the course and course-related books and fees, but not meals, travel, lodging, computers or other needed equipment or software. To receive reimbursement for a particular course, Employee must provide to the HR Service Center a course completion notice and receipts for all course-related books and fees no later than 60 days after completion of the course. Documents can be mailed, faxed or emailed to: [insert contact information]. TI shall reimburse Employee for eligible educational assistance expenses within 30 days of the HR Service Center’s receipt of a course completion notice and receipts for course-related books and fees.</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Profit Sharing</w:t>
      </w:r>
      <w:r>
        <w:rPr>
          <w:rFonts w:ascii="Times New Roman;serif" w:hAnsi="Times New Roman;serif"/>
          <w:b w:val="false"/>
          <w:color w:val="000000"/>
          <w:sz w:val="24"/>
        </w:rPr>
        <w:t>. In consideration of Employee’s acceptance of this Agreement, if Employee has any eligible earnings in the plan year in which Employee terminates from employment, and if profit sharing is paid out for that plan year under the TI Employees Cash Profit Sharing Plan (“Profit Sharing Plan”), Employee will receive a profit sharing payment on Employee’s eligible earnings, even if Employee’s termination from employment occurs before the last calendar day of the plan year (December 31). The terms of the Profit Sharing Plan shall govern any profit sharing payout.</w: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Stock Options and Restricted Stock Units</w:t>
      </w:r>
      <w:r>
        <w:rPr>
          <w:rFonts w:ascii="Times New Roman;serif" w:hAnsi="Times New Roman;serif"/>
          <w:b w:val="false"/>
          <w:color w:val="000000"/>
          <w:sz w:val="24"/>
        </w:rPr>
        <w:t>. Acceptance of this Agreement will result in an extended exercise period for stock options that are vested on Employee’s termination date. The extended exercise period will be 12 months after the date of termination, unless the full term of the option expires during that 12-month period, in which case the extended exercise period will last until that expiration date. If the retirement eligibility requirements are met under the stock option plan, a longer exercise period may apply, regardless of whether Employee accepts the Agreement. Except as to the extended exercise period for stock options described in this paragraph, the terms and conditions of any stock option grants and restricted stock unit award agreements provided to Employee remain in full force and effect and the terms and conditions of TI’s equity plans shall continue to govern Employee’s rights and obligations, if any, with respect to TI stock options and restricted stock units.</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Indemnity</w:t>
      </w:r>
      <w:r>
        <w:rPr>
          <w:rFonts w:ascii="Times New Roman;serif" w:hAnsi="Times New Roman;serif"/>
          <w:b w:val="false"/>
          <w:color w:val="000000"/>
          <w:sz w:val="24"/>
        </w:rPr>
        <w:t>. In the event Employee is named as a party in any lawsuit or other legal claim or action arising from Employee’s actions as an active employee of TI, TI will indemnify Employee, so long as Employee’s actions have been consistent with Employee’s employment by TI and have not been outside the scope of Employee’s employment or would breach any contractual agreement with TI. Such indemnity shall include, but not be limited to, Employee reasonable attorneys’ fees and related expenses incurred by Employee. Employee will receive the full benefit of any D&amp;O insurance coverage and fiduciary insurance coverage to which Employee is entitled as a result of Employee’s employment by TI, to the extent provided by the terms of such coverage. Notwithstanding the foregoing, TI shall not be obligated to indemnify Employee for any claim asserting breach of this Agreement.</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Except as specifically set forth herein, TI will not provide additional grants of stock options, restricted stock units, bonuses, or other contingent or discretionary benefits or income that TI might have provided if Employee was an active employee.</w:t>
      </w:r>
    </w:p>
    <w:p>
      <w:pPr>
        <w:pStyle w:val="TextBody"/>
        <w:bidi w:val="0"/>
        <w:spacing w:lineRule="auto" w:line="288" w:before="240" w:after="283"/>
        <w:ind w:left="0" w:right="0" w:hanging="360"/>
        <w:jc w:val="left"/>
        <w:rPr>
          <w:rFonts w:ascii="Times New Roman;serif" w:hAnsi="Times New Roman;serif"/>
          <w:b/>
          <w:color w:val="000000"/>
          <w:sz w:val="24"/>
        </w:rPr>
      </w:pPr>
      <w:r>
        <w:rPr>
          <w:rFonts w:ascii="Times New Roman;serif" w:hAnsi="Times New Roman;serif"/>
          <w:b/>
          <w:color w:val="000000"/>
          <w:sz w:val="24"/>
        </w:rPr>
        <w:t>2.Employee’s Promises</w:t>
      </w:r>
    </w:p>
    <w:p>
      <w:pPr>
        <w:pStyle w:val="TextBody"/>
        <w:bidi w:val="0"/>
        <w:spacing w:lineRule="auto" w:line="288" w:before="240" w:after="283"/>
        <w:ind w:left="0" w:right="0" w:firstLine="725"/>
        <w:jc w:val="left"/>
        <w:rPr>
          <w:rFonts w:ascii="Times New Roman;serif" w:hAnsi="Times New Roman;serif"/>
          <w:b w:val="false"/>
          <w:color w:val="000000"/>
          <w:sz w:val="24"/>
        </w:rPr>
      </w:pPr>
      <w:r>
        <w:rPr>
          <w:rFonts w:ascii="Times New Roman;serif" w:hAnsi="Times New Roman;serif"/>
          <w:b w:val="false"/>
          <w:color w:val="000000"/>
          <w:sz w:val="24"/>
        </w:rPr>
        <w:t>In consideration of the promises contained in this Agreement, Employee agrees as follows:</w:t>
      </w:r>
    </w:p>
    <w:p>
      <w:pPr>
        <w:pStyle w:val="TextBody"/>
        <w:bidi w:val="0"/>
        <w:spacing w:lineRule="auto" w:line="288" w:before="24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Reinstatement</w:t>
      </w:r>
      <w:r>
        <w:rPr>
          <w:rFonts w:ascii="Times New Roman;serif" w:hAnsi="Times New Roman;serif"/>
          <w:b w:val="false"/>
          <w:color w:val="000000"/>
          <w:sz w:val="24"/>
        </w:rPr>
        <w:t>. Employee will not be reinstated or seek to be reinstated or reemployed by TI following the beginning of Employee’s Paid LOA.</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 and Release of Claims</w:t>
      </w:r>
      <w:r>
        <w:rPr>
          <w:rFonts w:ascii="Times New Roman;serif" w:hAnsi="Times New Roman;serif"/>
          <w:b w:val="false"/>
          <w:color w:val="000000"/>
          <w:sz w:val="24"/>
        </w:rPr>
        <w:t>. Employee, on behalf of Employee’s self and Employee’s heirs, legal representatives, beneficiaries, successors and assigns, hereby irrevocably, knowingly, and unconditionally releases, acquits and forever discharges TI, its subsidiaries, affiliates, divisions, predecessors, successors and assigns, and its and their past and present officers, directors, executives, employees, agents, insurers, shareholders, trustees, joint venturers, attorneys, and partners, (collectively, the "TI Released Parties"), in their individual and/or corporate capacities, from any and all claims, liabilities, promises, actions, damages and the like, in law or equity, known or unknown, asserted or unasserted, arising prior to or existing at the time of the execution of this Agreement which Employee had, now has or may have had against any of the TI Released Parties, including but not limited to: any claims for a violation of any federal, state, or local law, ruling, or regulation, including but not limited to all claims Employee may have under the Uniformed Services Employment and Reemployment Right Act or the Age Discrimination in Employment Act of 1967, as amended; any claims for breach of contract or based on tort; any claims for severance or termination payments; and any claims related to Employee’s employment or termination from employment with TI, including, without limitation, claims of discrimination on the basis of any protected class or retaliation. Employee waives and releases any and all claims that the restrictions on Employee’s post-employment conduct provided for in paragraphs 2(e), 2(h), 2(i) or 2(j) are unreasonable or unenforceable as written, and covenants not to sue or otherwise assert any legal claim or defense contrary to the foregoing. Employee agrees that Employee is waiving the right to recover any damages that might be obtained on Employee’s behalf, including in any class or collective action, for any claim released in this Agreement. Employee hereby acknowledges and understands that this is a general release, which means that by signing this Agreement, Employee is waiving and giving up all claims Employee may have against the TI Released Parties, except as provided in the paragraph below.</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Rights and Claims Not Waived or Released</w:t>
      </w:r>
      <w:r>
        <w:rPr>
          <w:rFonts w:ascii="Times New Roman;serif" w:hAnsi="Times New Roman;serif"/>
          <w:b w:val="false"/>
          <w:color w:val="000000"/>
          <w:sz w:val="24"/>
        </w:rPr>
        <w:t>. This Agreement does not waive or release any rights or claims that Employee may have under TI's benefit or welfare plans; rights or claims that Employee may have under the workers' compensation laws for benefits for compensable injuries resulting from Employee’s employment with TI; rights or claims under COBRA; rights or claims for unemployment compensation; rights or claims to defense and indemnification, if any, from TI for any actions taken by Employee in the course and scope of employment with TI; rights or claims that may not be released as a matter of law; and/or rights or claims arising under or to enforce the terms of this Agreement. Nothing in this Agreement or any other policy or agreement applicable to Employee is intended to, or shall, waive or interfere with Employee’s rights under any employment, labor, or whistleblower law to file a charge or complaint with, provide documents or other information to, or participate in any investigation or proceeding conducted by an appropriate government agency charged with enforcing such law (including the Equal Employment Opportunity Commission, the National Labor Relations Board, the Occupational Safety and Health Administration, and the Securities and Exchange Commission), or require notification to TI of any such filing, communication or participation.</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General Release and Section 1542 Waiver</w:t>
      </w:r>
      <w:r>
        <w:rPr>
          <w:rFonts w:ascii="Times New Roman;serif" w:hAnsi="Times New Roman;serif"/>
          <w:b w:val="false"/>
          <w:color w:val="000000"/>
          <w:sz w:val="24"/>
        </w:rPr>
        <w:t>. Employee understands that there is a risk that subsequent to the execution of this Agreement, Employee may discover facts different from or in addition to the facts which Employee now knows. Employee understands that the release herein shall be, and remain in effect as, a full and complete general release, notwithstanding the discovery of different or additional facts. Employee expressly waives all rights under section 1542 of the Civil Code of the State of California, which provides as follows: “A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Ongoing Obligations of Confidentiality, Non-Competition, and Non-Solicitation</w:t>
      </w:r>
      <w:r>
        <w:rPr>
          <w:rFonts w:ascii="Times New Roman;serif" w:hAnsi="Times New Roman;serif"/>
          <w:b w:val="false"/>
          <w:color w:val="000000"/>
          <w:sz w:val="24"/>
        </w:rPr>
        <w:t>. Employee acknowledges that Employee has received confidential and proprietary information of TI and agrees that any use or disclosure of such information to any person or entity would be a violation of the terms of this Agreement. Employee understands that Employee continues to be bound by the terms of any agreements Employee has entered with TI regarding confidential information, trade secrets, and/or assignment of inventions (including, but not limited to, the Employee Trade Secret Information Acknowledgement and the Assignment of Inventions and Company Information Agreement). Further, Employee acknowledges that the terms of any stock option grants and restricted stock unit award agreements provided to Employee continue in full force and effect including, without limitation, provisions relating to non-competition, non-solicitation of TI employees and customers, and non-disclosure of confidential TI and TI customer information, recognizing and understanding that the obligations and remedies contained in those agreements survive the execution of this Agreement.</w:t>
      </w:r>
    </w:p>
    <w:p>
      <w:pPr>
        <w:pStyle w:val="TextBody"/>
        <w:bidi w:val="0"/>
        <w:spacing w:lineRule="auto" w:line="288" w:before="0" w:after="24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Confidentiality, This Agreement</w:t>
      </w:r>
      <w:r>
        <w:rPr>
          <w:rFonts w:ascii="Times New Roman;serif" w:hAnsi="Times New Roman;serif"/>
          <w:b w:val="false"/>
          <w:color w:val="000000"/>
          <w:sz w:val="24"/>
        </w:rPr>
        <w:t>. Except as otherwise expressly provided in this Agreement, Employee agrees not to publicize or disclose the terms of this Agreement or the circumstances surrounding Employee’s separation from TI, except for disclosures to Employee’s spouse, Employee’s attorneys and financial advisors (who agree in connection with any disclosure to treat such information as confidential), disclosures required or related to accounting or tax matters or as otherwise required by law or by direction of a court or validly-issued subpoena; provided, however, in conjunction with any new employment, Employee may make a prospective or new employer aware that Employee is bound by certain obligations to TI.</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Employee agrees not to make any disparaging remarks regarding any of the TI Released Parties or otherwise take any action that reasonably could be anticipated to cause damage to the reputation, goodwill, or business of any of the TI Released Parties, or otherwise make remarks that may reflect negatively upon any of the TI Released Parties; provided, however, nothing shall restrict Employee from responding or testifying truthfully to a validly-issued subpoena or court order, or as otherwise required by law.</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Non-Competition</w:t>
      </w:r>
      <w:r>
        <w:rPr>
          <w:rFonts w:ascii="Times New Roman;serif" w:hAnsi="Times New Roman;serif"/>
          <w:b w:val="false"/>
          <w:color w:val="000000"/>
          <w:sz w:val="24"/>
        </w:rPr>
        <w:t>. Employee agrees that during the term of Employee’s Paid LOA, and for a one-year period thereafter (the “Restricted Period”) and in the Restricted Geographic Area, Employee will not, without the prior written approval of the General Counsel of TI, accept a position (including as an employee or consultant) with a business that competes with the Company, including: (i) on a board of directors; (ii) in the same or similar role Employee performed for the Company; and/or (iii) in any other role where Employee’s use or disclosure of the Company’s confidential information and trade secrets could be used by the business to unfairly compete with the Company. “Restricted Geographic Area” means anywhere Employee: (A) had Material Responsibilities or performed services on behalf of the Company; (B) solicited Company customers or otherwise sold products or services on behalf of the Company; and/or (C) where Employee performed Material Responsibilities that are not geographically limited to any territory but Employee’s knowledge of the Company’s confidential information and trade secrets could be used to unfairly compete with or undermine the Company’s legitimate business interests, the Restricted Geographic Area is anywhere the Company does business. “Material Responsibilities” mean the primary job duties and responsibilities Employee performed for the Company, including in connection with supervising others.</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Employee agrees that during the Restricted Period, unless Employee receives prior written approval from the General Counsel of TI, Employee will not directly or indirectly hire, employ, solicit for employment, attempt to solicit for employment, or advise about changing employment, any person who is then (or was within the preceding six months) an employee of TI or any of its divisions or subsidiaries if Employee had business contact with or knowledge of the TI employee as a result of Employee’s employment with TI.</w:t>
      </w:r>
    </w:p>
    <w:p>
      <w:pPr>
        <w:pStyle w:val="TextBody"/>
        <w:bidi w:val="0"/>
        <w:spacing w:lineRule="auto" w:line="288" w:before="0" w:after="240"/>
        <w:ind w:left="0" w:right="0" w:hanging="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TI Property</w:t>
      </w:r>
      <w:r>
        <w:rPr>
          <w:rFonts w:ascii="Times New Roman;serif" w:hAnsi="Times New Roman;serif"/>
          <w:b w:val="false"/>
          <w:color w:val="000000"/>
          <w:sz w:val="24"/>
        </w:rPr>
        <w:t>. Employee agrees not to remove any of TI's property from TI premises and, before the start of the Paid LOA, to return all tangible and intangible property belonging to TI and relating to Employee’s employment with TI, including, but not limited to, company financial information, customer contact information, customer lists, mailing lists, business strategies, account information, samples, prototypes, product development information, product attributes or deficiencies, manufacturing techniques, roadmaps, price lists, and cost and pricing information. Employee also agrees to return any and all computer and electronic equipment, tablets, phones, electronic storage devices, credit cards, entry cards, identification badges, and keys provided by TI. Employee further represents and warrants that Employee has not retained any copies, electronic or otherwise, of documents or other information related to TI's management, business operations, or customers and that Employee will not use any such information for any purpose outside of TI.</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Cooperation</w:t>
      </w:r>
      <w:r>
        <w:rPr>
          <w:rFonts w:ascii="Times New Roman;serif" w:hAnsi="Times New Roman;serif"/>
          <w:b w:val="false"/>
          <w:color w:val="000000"/>
          <w:sz w:val="24"/>
        </w:rPr>
        <w:t>. Employee agrees that Employee will provide reasonable assistance to, and will cooperate with, TI (and government agencies, if requested by such agency) in connection with any litigation, arbitration, investigations, governmental inquiries, or judicial or non-judicial administrative proceedings or other action that may exist or may subsequently arise regarding events about which Employee has knowledge and/or that may pertain to Employee or Employee’s conduct, subject to reimbursement of Employee’s reasonable out-of-pocket expenses such as travel, meals, or lodging. Should Employee receive a subpoena or notice of claim, dispute or proceeding relating to TI, Employee shall promptly send a written copy of such to TI’s General Counsel, unless notice to TI is prohibited by law or prohibited under the terms of the subpoena or notice of claim or is part of an investigation by a state or federal law enforcement agency.</w:t>
      </w:r>
    </w:p>
    <w:p>
      <w:pPr>
        <w:pStyle w:val="TextBody"/>
        <w:bidi w:val="0"/>
        <w:spacing w:lineRule="auto" w:line="288" w:before="0" w:after="240"/>
        <w:ind w:left="0" w:right="0" w:hanging="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Prior agreements, expatriate assignments</w:t>
      </w:r>
      <w:r>
        <w:rPr>
          <w:rFonts w:ascii="Times New Roman;serif" w:hAnsi="Times New Roman;serif"/>
          <w:b w:val="false"/>
          <w:color w:val="000000"/>
          <w:sz w:val="24"/>
        </w:rPr>
        <w:t>. Employee acknowledges that Employee continues to be bound by the terms of any policies and agreements Employee has entered with TI regarding expatriate assignments, including those regarding tax equalization.</w:t>
      </w:r>
    </w:p>
    <w:p>
      <w:pPr>
        <w:pStyle w:val="TextBody"/>
        <w:bidi w:val="0"/>
        <w:spacing w:lineRule="auto" w:line="288" w:before="0" w:after="240"/>
        <w:ind w:left="0" w:right="0" w:hanging="36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Trading Restrictions</w:t>
      </w:r>
      <w:r>
        <w:rPr>
          <w:rFonts w:ascii="Times New Roman;serif" w:hAnsi="Times New Roman;serif"/>
          <w:b w:val="false"/>
          <w:color w:val="000000"/>
          <w:sz w:val="24"/>
        </w:rPr>
        <w:t>. Once Employee is no longer an officer of TI, Employee will no longer be subject to trading restrictions on TI stock as contemplated in TI SP&amp;P 11-04-02, except that (i) Employee will not engage in transactions in TI stock while in possession of material nonpublic information or pass on such information to any third party, and (ii) for the duration of the Paid LOA, Employee will not engage in short sales of TI stock or trade in “puts,” “calls,” or other option hedging techniques on TI stock.</w:t>
      </w:r>
    </w:p>
    <w:p>
      <w:pPr>
        <w:pStyle w:val="TextBody"/>
        <w:bidi w:val="0"/>
        <w:spacing w:lineRule="auto" w:line="288" w:before="0" w:after="240"/>
        <w:ind w:left="0" w:right="0" w:hanging="36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Breach of Agreement</w:t>
      </w:r>
      <w:r>
        <w:rPr>
          <w:rFonts w:ascii="Times New Roman;serif" w:hAnsi="Times New Roman;serif"/>
          <w:b w:val="false"/>
          <w:color w:val="000000"/>
          <w:sz w:val="24"/>
        </w:rPr>
        <w:t>. If Employee breaches Employee’s promises or obligations set forth in this Agreement or any other contractual obligation to TI, (i) Employee’s Paid LOA and any outstanding obligations of TI under this Agreement will immediately terminate, and (ii) upon demand by TI, Employee shall return to TI all payments made to or on behalf of Employee under the terms of the Agreement, and TI may seek all other applicable remedies for breach of contract.</w:t>
      </w:r>
    </w:p>
    <w:p>
      <w:pPr>
        <w:pStyle w:val="TextBody"/>
        <w:bidi w:val="0"/>
        <w:spacing w:lineRule="auto" w:line="288" w:before="0" w:after="240"/>
        <w:ind w:left="0" w:right="0" w:hanging="36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Threatened Breach Suspension</w:t>
      </w:r>
      <w:r>
        <w:rPr>
          <w:rFonts w:ascii="Times New Roman;serif" w:hAnsi="Times New Roman;serif"/>
          <w:b w:val="false"/>
          <w:color w:val="000000"/>
          <w:sz w:val="24"/>
        </w:rPr>
        <w:t>. In the event that TI has a reasonable belief that Employee has engaged in conduct that is a breach, or threatens to breach, Employee’s obligations to TI under this Agreement or any other contract with TI, TI will have the right to suspend any payments otherwise due and owing to Employee under this Agreement until there is a final resolution of such breach or threatened breach through legal action or agreement of the parties.</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3.General Provisions</w:t>
      </w:r>
    </w:p>
    <w:p>
      <w:pPr>
        <w:pStyle w:val="TextBody"/>
        <w:bidi w:val="0"/>
        <w:spacing w:lineRule="auto" w:line="288" w:before="24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parties agree that the provisions of this Agreement are severable. If any portion or provision of this Agreement is to any extent declared illegal or unenforceable by a court of competent jurisdiction, then the remainder of this Agreement, or the application of such portion or provisions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Entire Agreement; Modifications</w:t>
      </w:r>
      <w:r>
        <w:rPr>
          <w:rFonts w:ascii="Times New Roman;serif" w:hAnsi="Times New Roman;serif"/>
          <w:b w:val="false"/>
          <w:color w:val="000000"/>
          <w:sz w:val="24"/>
        </w:rPr>
        <w:t>. This Agreement sets forth the entire agreement between Employee and TI and, except as specifically set forth herein, supersedes any and all prior oral or written agreements or understandings between Employee and TI concerning the subject matter of this Agreement. This Agreement may not be altered, amended, waived or modified, except by a further written document signed by the party against whom the same is sought to be enforced. Notwithstanding the foregoing, the parties agree that this Agreement may be changed or modified by TI without Employee's consent or signature, if TI determines, in its sole discretion, that such change or modification is necessary for purposes of compliance with or exemption from the requirements of Section 409A and any regulations or other guidance issued thereunder, if TI determines that a restriction placed upon Employee should be rescinded or reduced in scope (such as time, scope of activity, or geographical area covered), or otherwise to comply with any law.</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be exempt from and/or comply with and shall be interpreted in accordance with the requirements of Section 409A and any regulations or guidance issued thereunder or, if applicable, the requirements of any exceptions to Section 409A. The payments contemplated by Sections 1(b) through 1(d) are intended to comply with Treas. Regs. Section 1.409A-1(b)(9) and 1.409A-1(b)(4) to the maximum extent possible, respectively, and shall be administered in accordance with this intention. Notwithstanding anything herein to the contrary, in the event Employee constitutes a “specified employee” under Section 409A, no payment of any amount that constitutes a “deferral of compensation” under Section 409A (</w:t>
      </w:r>
      <w:r>
        <w:rPr>
          <w:rFonts w:ascii="Times New Roman;serif" w:hAnsi="Times New Roman;serif"/>
          <w:b w:val="false"/>
          <w:i/>
          <w:color w:val="000000"/>
          <w:sz w:val="24"/>
        </w:rPr>
        <w:t>i.e</w:t>
      </w:r>
      <w:r>
        <w:rPr>
          <w:rFonts w:ascii="Times New Roman;serif" w:hAnsi="Times New Roman;serif"/>
          <w:b w:val="false"/>
          <w:color w:val="000000"/>
          <w:sz w:val="24"/>
        </w:rPr>
        <w:t>., that is not otherwise exempted from coverage under Section 409A) shall be made within six months following the date Employee incurs a “separation from service” to the extent required under Section 409A.</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Assignment</w:t>
      </w:r>
      <w:r>
        <w:rPr>
          <w:rFonts w:ascii="Times New Roman;serif" w:hAnsi="Times New Roman;serif"/>
          <w:b w:val="false"/>
          <w:color w:val="000000"/>
          <w:sz w:val="24"/>
        </w:rPr>
        <w:t>. Neither TI nor Employee may make any assignment of this Agreement or any interest herein, by operation of law or otherwise, without the prior written consent of the other party; provided, however, that TI may assign its rights under this Agreement without the consent of Employee in the event that either TI shall hereafter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TI and Employee, their respective successors, executors, administrators, heirs and permitted assigns.</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Waiver</w:t>
      </w:r>
      <w:r>
        <w:rPr>
          <w:rFonts w:ascii="Times New Roman;serif" w:hAnsi="Times New Roman;serif"/>
          <w:b w:val="false"/>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lineRule="auto" w:line="288" w:before="0" w:after="24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Choice of Law, Jurisdiction, and Venue</w:t>
      </w:r>
      <w:r>
        <w:rPr>
          <w:rFonts w:ascii="Times New Roman;serif" w:hAnsi="Times New Roman;serif"/>
          <w:b w:val="false"/>
          <w:color w:val="000000"/>
          <w:sz w:val="24"/>
        </w:rPr>
        <w:t>. The parties agree this Agreement and claims related to or arising from it will be, in all respects, be interpreted, enforced, and governed by the laws of the State of Texas. Any claim that may be pursued in a court of law arising from or related to this Agreement shall be litigated in a court of proper subject matter jurisdiction located in Texas (a “Chosen Court”), and the parties consent to the exercise of personal jurisdiction by such Chosen Court over them and waive any and all objections to the location of such courts whether based on convenience, cost, location or witnesses or evidence, or otherwise. Notwithstanding the foregoing, in the event that a Chosen Court will not accept jurisdiction over the parties, then litigation may be pursued in a court of otherwise applicable jurisdiction.</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Signature</w:t>
      </w:r>
      <w:r>
        <w:rPr>
          <w:rFonts w:ascii="Times New Roman;serif" w:hAnsi="Times New Roman;serif"/>
          <w:b w:val="false"/>
          <w:color w:val="000000"/>
          <w:sz w:val="24"/>
        </w:rPr>
        <w:t>. This Agreement may be signed in counterparts, each of which shall be deemed an original, but each of which, taken together, shall constitute the same instrument. A signature made on a faxed or electronically mailed copy of the Agreement or a signature transmitted by facsimile or electronic mail shall have the same effect as the original signature.</w: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Headings</w:t>
      </w:r>
      <w:r>
        <w:rPr>
          <w:rFonts w:ascii="Times New Roman;serif" w:hAnsi="Times New Roman;serif"/>
          <w:b w:val="false"/>
          <w:color w:val="000000"/>
          <w:sz w:val="24"/>
        </w:rPr>
        <w:t>. The section headings used in this Agreement are intended solely for convenience of reference and shall not in any manner amplify, limit, modify or otherwise be used in the interpretation of any of the provisions hereof.</w:t>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4.Employee’s Process Acknowledgements</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Employee acknowledges that Employee has carefully read and understands all the provisions of this Agreement and that Employee is knowingly and voluntarily entering into it. Employee also acknowledges specifically as follows:</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a.TI advises that Employee consult an attorney for the purpose of receiving information regarding the effect of signing this Agreement and the release contained herein.</w: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10(a)</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b.Employee has been given at least twenty-one (21) days to consider accepting the terms of this Agreement, specifically until [Job Release Date]. If Employee decides to accept the Agreement, the signed and dated Agreement must be returned to [contact information] at any time on or before this date. The offer of this Agreement will expire if not signed and returned by [Job Release Date].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c.Employee may revoke this Agreement within seven (7) days of signing it by delivering a written notice of revocation to [contact information], and if Employee revokes this Agreement, it will not be effective or enforceable, and Employee will not receive the benefits described above.</w:t>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5. Notice Provisions</w:t>
      </w:r>
    </w:p>
    <w:p>
      <w:pPr>
        <w:pStyle w:val="TextBody"/>
        <w:bidi w:val="0"/>
        <w:spacing w:lineRule="auto" w:line="288" w:before="240" w:after="283"/>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Any and all notices and other information to be given by one party to the other under this agreement shall be deemed sufficiently given when sent by: (i) nationally recognized overnight courier; (ii) hand delivery; or (iii) email, so long as receipt of the email is confirmed by a response from the recipient, in each case addressed to the parties as follows:</w:t>
      </w:r>
    </w:p>
    <w:p>
      <w:pPr>
        <w:pStyle w:val="TextBody"/>
        <w:bidi w:val="0"/>
        <w:spacing w:lineRule="auto" w:line="288" w:before="240" w:after="283"/>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If to TI:</w:t>
      </w:r>
    </w:p>
    <w:p>
      <w:pPr>
        <w:pStyle w:val="TextBody"/>
        <w:bidi w:val="0"/>
        <w:spacing w:lineRule="auto" w:line="288" w:before="240" w:after="283"/>
        <w:ind w:left="0" w:right="0" w:firstLine="1445"/>
        <w:jc w:val="left"/>
        <w:rPr>
          <w:rFonts w:ascii="Times New Roman;serif" w:hAnsi="Times New Roman;serif"/>
          <w:b w:val="false"/>
          <w:color w:val="000000"/>
          <w:sz w:val="24"/>
        </w:rPr>
      </w:pPr>
      <w:r>
        <w:rPr>
          <w:rFonts w:ascii="Times New Roman;serif" w:hAnsi="Times New Roman;serif"/>
          <w:b w:val="false"/>
          <w:color w:val="000000"/>
          <w:sz w:val="24"/>
        </w:rPr>
        <w:t>[insert contact information]</w:t>
      </w:r>
    </w:p>
    <w:p>
      <w:pPr>
        <w:pStyle w:val="TextBody"/>
        <w:bidi w:val="0"/>
        <w:spacing w:lineRule="auto" w:line="288" w:before="240" w:after="283"/>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If to Employee:</w:t>
      </w:r>
    </w:p>
    <w:p>
      <w:pPr>
        <w:pStyle w:val="TextBody"/>
        <w:bidi w:val="0"/>
        <w:spacing w:lineRule="auto" w:line="288" w:before="240" w:after="283"/>
        <w:ind w:left="0" w:right="0" w:firstLine="1445"/>
        <w:jc w:val="left"/>
        <w:rPr>
          <w:rFonts w:ascii="Times New Roman;serif" w:hAnsi="Times New Roman;serif"/>
          <w:b w:val="false"/>
          <w:color w:val="000000"/>
          <w:sz w:val="24"/>
        </w:rPr>
      </w:pPr>
      <w:r>
        <w:rPr>
          <w:rFonts w:ascii="Times New Roman;serif" w:hAnsi="Times New Roman;serif"/>
          <w:b w:val="false"/>
          <w:color w:val="000000"/>
          <w:sz w:val="24"/>
        </w:rPr>
        <w:t>[insert contact information]</w:t>
      </w:r>
    </w:p>
    <w:p>
      <w:pPr>
        <w:pStyle w:val="TextBody"/>
        <w:bidi w:val="0"/>
        <w:spacing w:lineRule="auto" w:line="288" w:before="240" w:after="283"/>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The aforementioned contact information of either party may be changed at any time by giving five (5) business days prior written notice to the other party in accordance with the foregoing.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
        <w:jc w:val="left"/>
        <w:rPr>
          <w:rFonts w:ascii="Times New Roman;serif" w:hAnsi="Times New Roman;serif"/>
          <w:b/>
          <w:color w:val="000000"/>
          <w:sz w:val="24"/>
        </w:rPr>
      </w:pPr>
      <w:r>
        <w:rPr>
          <w:rFonts w:ascii="Times New Roman;serif" w:hAnsi="Times New Roman;serif"/>
          <w:b/>
          <w:color w:val="000000"/>
          <w:sz w:val="24"/>
        </w:rPr>
        <w:t>EXECUTED this _______ day of ________________________ 20___.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Employee:______________________________________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Texas Instruments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ind w:left="0" w:right="0" w:firstLine="5"/>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Haviv Ilan,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October 23, 2026</w:t>
      </w:r>
    </w:p>
    <w:p>
      <w:pPr>
        <w:pStyle w:val="TextBody"/>
        <w:bidi w:val="0"/>
        <w:spacing w:lineRule="auto" w:line="288" w:before="0" w:after="0"/>
        <w:jc w:val="left"/>
        <w:rPr>
          <w:color w:val="000000"/>
        </w:rPr>
      </w:pPr>
      <w:r>
        <w:rPr>
          <w:color w:val="000000"/>
        </w:rPr>
        <w:t> </w:t>
      </w:r>
    </w:p>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Chairman, 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Julie Knecht,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October 23, 2026</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Julie Knecht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Julie Knecht</w:t>
              <w:br/>
              <w:t>Senior Vice President and</w:t>
              <w:b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pPr>
      <w:r>
        <w:rPr>
          <w:rFonts w:ascii="Arial;sans-serif" w:hAnsi="Arial;sans-serif"/>
          <w:b w:val="false"/>
          <w:color w:val="000000"/>
          <w:sz w:val="20"/>
        </w:rPr>
        <w:t>Pursuant to 18 U.S.C. Section 1350</w:t>
      </w:r>
      <w:r>
        <w:rPr>
          <w:color w:val="000000"/>
        </w:rPr>
        <w:t> </w:t>
      </w:r>
    </w:p>
    <w:p>
      <w:pPr>
        <w:pStyle w:val="TextBody"/>
        <w:bidi w:val="0"/>
        <w:spacing w:lineRule="auto" w:line="288" w:before="36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Haviv Ilan, Chairman, President and Chief Executive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September 30, 2026,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October 23, 2026</w:t>
      </w:r>
    </w:p>
    <w:p>
      <w:pPr>
        <w:pStyle w:val="TextBody"/>
        <w:bidi w:val="0"/>
        <w:spacing w:lineRule="auto" w:line="288" w:before="0" w:after="0"/>
        <w:jc w:val="left"/>
        <w:rPr>
          <w:color w:val="000000"/>
        </w:rPr>
      </w:pPr>
      <w:r>
        <w:rPr>
          <w:color w:val="000000"/>
        </w:rPr>
        <w:t> </w:t>
      </w:r>
    </w:p>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Chairman, 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Julie Knecht, Senior Vice President and Chief Financial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September 30, 2026,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October 23, 2026</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Julie Knecht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Julie Knecht</w:t>
              <w:br/>
              <w:t>Senior Vice President and</w:t>
              <w:br/>
              <w:t>Chief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7476/000009747615000003/txn-12312014xexhibit3a.htm" TargetMode="External"/><Relationship Id="rId3" Type="http://schemas.openxmlformats.org/officeDocument/2006/relationships/hyperlink" Target="https://www.sec.gov/Archives/edgar/data/97476/000119312526040312/d937106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15899</Words>
  <Characters>86944</Characters>
  <CharactersWithSpaces>101721</CharactersWithSpaces>
  <Paragraphs>2478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