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60"/>
        <w:jc w:val="center"/>
        <w:rPr>
          <w:rFonts w:ascii="Arial;sans-serif" w:hAnsi="Arial;sans-serif"/>
          <w:b/>
          <w:color w:val="000000"/>
          <w:sz w:val="24"/>
        </w:rPr>
      </w:pPr>
      <w:r>
        <w:rPr>
          <w:rFonts w:ascii="Arial;sans-serif" w:hAnsi="Arial;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QUARTERLY REPORT PURSUANT TO SECTION 13 OR 15(d) OF THE SECURITIES EXCHANGE ACT OF 1934</w:t>
            </w:r>
          </w:p>
        </w:tc>
      </w:tr>
    </w:tbl>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For the quarterly period ended June 30, 2026</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TRANSITION REPORT PURSUANT TO SECTION 13 OR 15(d) OF THE SECURITIES EXCHANGE ACT OF 1934</w:t>
            </w:r>
          </w:p>
        </w:tc>
      </w:tr>
    </w:tbl>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For the transition period from ___________ to ___________</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Commission File Number 001-03761</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48"/>
        </w:rPr>
      </w:pPr>
      <w:r>
        <w:rPr>
          <w:rFonts w:ascii="Arial;sans-serif" w:hAnsi="Arial;sans-serif"/>
          <w:b/>
          <w:color w:val="000000"/>
          <w:sz w:val="48"/>
        </w:rPr>
        <w:t>TEXAS INSTRUMENTS INCORPORATED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01" w:type="dxa"/>
        <w:jc w:val="center"/>
        <w:tblInd w:w="0" w:type="dxa"/>
        <w:tblLayout w:type="fixed"/>
        <w:tblCellMar>
          <w:top w:w="28" w:type="dxa"/>
          <w:left w:w="28" w:type="dxa"/>
          <w:bottom w:w="28" w:type="dxa"/>
          <w:right w:w="28" w:type="dxa"/>
        </w:tblCellMar>
      </w:tblPr>
      <w:tblGrid>
        <w:gridCol w:w="124"/>
        <w:gridCol w:w="109"/>
        <w:gridCol w:w="109"/>
        <w:gridCol w:w="1072"/>
        <w:gridCol w:w="1072"/>
        <w:gridCol w:w="1081"/>
        <w:gridCol w:w="109"/>
        <w:gridCol w:w="109"/>
        <w:gridCol w:w="109"/>
        <w:gridCol w:w="942"/>
        <w:gridCol w:w="942"/>
        <w:gridCol w:w="95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75-0289970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12500 TI Boulevard, Dallas,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75243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Registrant’s telephone number, including area code 214-479-3773 </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8157" w:type="dxa"/>
        <w:jc w:val="left"/>
        <w:tblInd w:w="0" w:type="dxa"/>
        <w:tblLayout w:type="fixed"/>
        <w:tblCellMar>
          <w:top w:w="28" w:type="dxa"/>
          <w:left w:w="28" w:type="dxa"/>
          <w:bottom w:w="28" w:type="dxa"/>
          <w:right w:w="28" w:type="dxa"/>
        </w:tblCellMar>
      </w:tblPr>
      <w:tblGrid>
        <w:gridCol w:w="1057"/>
        <w:gridCol w:w="928"/>
        <w:gridCol w:w="939"/>
        <w:gridCol w:w="524"/>
        <w:gridCol w:w="524"/>
        <w:gridCol w:w="526"/>
        <w:gridCol w:w="1071"/>
        <w:gridCol w:w="1071"/>
        <w:gridCol w:w="1517"/>
      </w:tblGrid>
      <w:tr>
        <w:trPr/>
        <w:tc>
          <w:tcPr>
            <w:tcW w:w="105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57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65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292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par value $1.00</w:t>
            </w:r>
          </w:p>
        </w:tc>
        <w:tc>
          <w:tcPr>
            <w:tcW w:w="157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TXN</w:t>
            </w:r>
          </w:p>
        </w:tc>
        <w:tc>
          <w:tcPr>
            <w:tcW w:w="365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Global Select Market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80" w:after="283"/>
        <w:jc w:val="left"/>
        <w:rPr/>
      </w:pPr>
      <w:r>
        <w:rPr>
          <w:rFonts w:ascii="Arial;sans-serif" w:hAnsi="Arial;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20"/>
        </w:rPr>
        <w:t>No</w:t>
      </w:r>
      <w:r>
        <w:rPr>
          <w:color w:val="000000"/>
        </w:rPr>
        <w:t> ☐</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706"/>
        <w:gridCol w:w="1354"/>
        <w:gridCol w:w="1314"/>
        <w:gridCol w:w="222"/>
        <w:gridCol w:w="222"/>
        <w:gridCol w:w="222"/>
        <w:gridCol w:w="222"/>
        <w:gridCol w:w="222"/>
        <w:gridCol w:w="222"/>
        <w:gridCol w:w="1372"/>
        <w:gridCol w:w="1372"/>
        <w:gridCol w:w="1377"/>
        <w:gridCol w:w="109"/>
        <w:gridCol w:w="109"/>
        <w:gridCol w:w="160"/>
      </w:tblGrid>
      <w:tr>
        <w:trPr/>
        <w:tc>
          <w:tcPr>
            <w:tcW w:w="1706"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Accelerated filer</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Non-accelerated filer</w:t>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60" w:after="283"/>
        <w:jc w:val="left"/>
        <w:rPr/>
      </w:pPr>
      <w:r>
        <w:rPr>
          <w:rFonts w:ascii="Arial;sans-serif" w:hAnsi="Arial;sans-serif"/>
          <w:b w:val="false"/>
          <w:color w:val="000000"/>
          <w:sz w:val="20"/>
        </w:rPr>
        <w:t>Indicate by check mark whether the Registrant is a shell company (as defined in Rule 12b-2 of the Exchange Act). Yes</w:t>
      </w:r>
      <w:r>
        <w:rPr>
          <w:color w:val="000000"/>
        </w:rPr>
        <w:t> ☐ </w:t>
      </w:r>
      <w:r>
        <w:rPr>
          <w:rFonts w:ascii="Arial;sans-serif" w:hAnsi="Arial;sans-serif"/>
          <w:b w:val="false"/>
          <w:color w:val="000000"/>
          <w:sz w:val="20"/>
        </w:rPr>
        <w:t>No</w:t>
      </w:r>
      <w:r>
        <w:rPr>
          <w:color w:val="000000"/>
        </w:rPr>
        <w:t xml:space="preserve"> ☒ </w:t>
      </w:r>
    </w:p>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913,247,686</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Number of shares of Registrant’s common stock outstanding as of</w:t>
      </w:r>
    </w:p>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July 15,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TEXAS INSTRUMENTS INCORPORATED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284"/>
        <w:gridCol w:w="1129"/>
        <w:gridCol w:w="1132"/>
        <w:gridCol w:w="136"/>
        <w:gridCol w:w="136"/>
        <w:gridCol w:w="136"/>
        <w:gridCol w:w="263"/>
        <w:gridCol w:w="808"/>
        <w:gridCol w:w="136"/>
        <w:gridCol w:w="136"/>
        <w:gridCol w:w="136"/>
        <w:gridCol w:w="136"/>
        <w:gridCol w:w="263"/>
        <w:gridCol w:w="808"/>
        <w:gridCol w:w="136"/>
        <w:gridCol w:w="136"/>
        <w:gridCol w:w="136"/>
        <w:gridCol w:w="136"/>
        <w:gridCol w:w="263"/>
        <w:gridCol w:w="940"/>
        <w:gridCol w:w="136"/>
        <w:gridCol w:w="136"/>
        <w:gridCol w:w="136"/>
        <w:gridCol w:w="136"/>
        <w:gridCol w:w="263"/>
        <w:gridCol w:w="808"/>
        <w:gridCol w:w="204"/>
      </w:tblGrid>
      <w:tr>
        <w:trPr/>
        <w:tc>
          <w:tcPr>
            <w:tcW w:w="128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Three Months Ended</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Six Months Ended</w:t>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Consolidated Statements of Income</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3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 except per-share amounts)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5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0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5,463</w:t>
            </w:r>
            <w:r>
              <w:rPr>
                <w:color w:val="000000"/>
              </w:rPr>
              <w:t> </w:t>
            </w:r>
          </w:p>
        </w:tc>
        <w:tc>
          <w:tcPr>
            <w:tcW w:w="13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4,448 </w:t>
            </w:r>
          </w:p>
        </w:tc>
        <w:tc>
          <w:tcPr>
            <w:tcW w:w="13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4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10,288</w:t>
            </w:r>
            <w:r>
              <w:rPr>
                <w:color w:val="000000"/>
              </w:rPr>
              <w:t> </w:t>
            </w:r>
          </w:p>
        </w:tc>
        <w:tc>
          <w:tcPr>
            <w:tcW w:w="13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8,517 </w:t>
            </w:r>
          </w:p>
        </w:tc>
        <w:tc>
          <w:tcPr>
            <w:tcW w:w="20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 (COR)</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2,111</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4,137</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3,352</w:t>
            </w:r>
            <w:r>
              <w:rPr>
                <w:color w:val="000000"/>
              </w:rPr>
              <w:t> </w:t>
            </w:r>
          </w:p>
        </w:tc>
        <w:tc>
          <w:tcPr>
            <w:tcW w:w="13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2,575 </w:t>
            </w:r>
          </w:p>
        </w:tc>
        <w:tc>
          <w:tcPr>
            <w:tcW w:w="13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6,151</w:t>
            </w:r>
            <w:r>
              <w:rPr>
                <w:color w:val="000000"/>
              </w:rPr>
              <w:t> </w:t>
            </w:r>
          </w:p>
        </w:tc>
        <w:tc>
          <w:tcPr>
            <w:tcW w:w="13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4,888 </w:t>
            </w:r>
          </w:p>
        </w:tc>
        <w:tc>
          <w:tcPr>
            <w:tcW w:w="20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(R&amp;D)</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535</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1,045</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(SG&amp;A)</w:t>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490</w:t>
            </w:r>
            <w:r>
              <w:rPr>
                <w:color w:val="000000"/>
              </w:rPr>
              <w:t>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954</w:t>
            </w:r>
            <w:r>
              <w:rPr>
                <w:color w:val="000000"/>
              </w:rPr>
              <w:t>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957 </w:t>
            </w:r>
          </w:p>
        </w:tc>
        <w:tc>
          <w:tcPr>
            <w:tcW w:w="2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charges</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2,310</w:t>
            </w:r>
            <w:r>
              <w:rPr>
                <w:color w:val="000000"/>
              </w:rPr>
              <w:t> </w:t>
            </w:r>
          </w:p>
        </w:tc>
        <w:tc>
          <w:tcPr>
            <w:tcW w:w="13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1,563 </w:t>
            </w:r>
          </w:p>
        </w:tc>
        <w:tc>
          <w:tcPr>
            <w:tcW w:w="13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4,118</w:t>
            </w:r>
            <w:r>
              <w:rPr>
                <w:color w:val="000000"/>
              </w:rPr>
              <w:t> </w:t>
            </w:r>
          </w:p>
        </w:tc>
        <w:tc>
          <w:tcPr>
            <w:tcW w:w="13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2,887 </w:t>
            </w:r>
          </w:p>
        </w:tc>
        <w:tc>
          <w:tcPr>
            <w:tcW w:w="20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 (OI&amp;E)</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116</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debt expense</w:t>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141</w:t>
            </w:r>
            <w:r>
              <w:rPr>
                <w:color w:val="000000"/>
              </w:rPr>
              <w:t>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282</w:t>
            </w:r>
            <w:r>
              <w:rPr>
                <w:color w:val="000000"/>
              </w:rPr>
              <w:t>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261 </w:t>
            </w:r>
          </w:p>
        </w:tc>
        <w:tc>
          <w:tcPr>
            <w:tcW w:w="2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2,238</w:t>
            </w:r>
            <w:r>
              <w:rPr>
                <w:color w:val="000000"/>
              </w:rPr>
              <w:t>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1,478 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3,952</w:t>
            </w:r>
            <w:r>
              <w:rPr>
                <w:color w:val="000000"/>
              </w:rPr>
              <w:t>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2,754 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258</w:t>
            </w:r>
            <w:r>
              <w:rPr>
                <w:color w:val="000000"/>
              </w:rPr>
              <w:t>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427</w:t>
            </w:r>
            <w:r>
              <w:rPr>
                <w:color w:val="000000"/>
              </w:rPr>
              <w:t>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2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1,980</w:t>
            </w:r>
            <w:r>
              <w:rPr>
                <w:color w:val="000000"/>
              </w:rPr>
              <w:t>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1,295 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3,525</w:t>
            </w:r>
            <w:r>
              <w:rPr>
                <w:color w:val="000000"/>
              </w:rPr>
              <w:t>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2,474 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common share (EPS):</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0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2.16</w:t>
            </w:r>
            <w:r>
              <w:rPr>
                <w:color w:val="000000"/>
              </w:rPr>
              <w:t>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4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3.85</w:t>
            </w:r>
            <w:r>
              <w:rPr>
                <w:color w:val="000000"/>
              </w:rPr>
              <w:t>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2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0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2.14</w:t>
            </w:r>
            <w:r>
              <w:rPr>
                <w:color w:val="000000"/>
              </w:rPr>
              <w:t> </w:t>
            </w:r>
          </w:p>
        </w:tc>
        <w:tc>
          <w:tcPr>
            <w:tcW w:w="13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13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4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3.82</w:t>
            </w:r>
            <w:r>
              <w:rPr>
                <w:color w:val="000000"/>
              </w:rPr>
              <w:t> </w:t>
            </w:r>
          </w:p>
        </w:tc>
        <w:tc>
          <w:tcPr>
            <w:tcW w:w="13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2.69 </w:t>
            </w:r>
          </w:p>
        </w:tc>
        <w:tc>
          <w:tcPr>
            <w:tcW w:w="20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shares outstanding:</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912</w:t>
            </w:r>
            <w:r>
              <w:rPr>
                <w:color w:val="000000"/>
              </w:rPr>
              <w:t>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908 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911</w:t>
            </w:r>
            <w:r>
              <w:rPr>
                <w:color w:val="000000"/>
              </w:rPr>
              <w:t>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909 </w:t>
            </w:r>
          </w:p>
        </w:tc>
        <w:tc>
          <w:tcPr>
            <w:tcW w:w="2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920</w:t>
            </w:r>
            <w:r>
              <w:rPr>
                <w:color w:val="000000"/>
              </w:rPr>
              <w:t> </w:t>
            </w:r>
          </w:p>
        </w:tc>
        <w:tc>
          <w:tcPr>
            <w:tcW w:w="13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912 </w:t>
            </w:r>
          </w:p>
        </w:tc>
        <w:tc>
          <w:tcPr>
            <w:tcW w:w="13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917</w:t>
            </w:r>
            <w:r>
              <w:rPr>
                <w:color w:val="000000"/>
              </w:rPr>
              <w:t> </w:t>
            </w:r>
          </w:p>
        </w:tc>
        <w:tc>
          <w:tcPr>
            <w:tcW w:w="13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914 </w:t>
            </w:r>
          </w:p>
        </w:tc>
        <w:tc>
          <w:tcPr>
            <w:tcW w:w="20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 portion of net income is allocated to unvested restricted stock units (RSUs) on which we pay dividend equivalents. Diluted EPS is calculated using the following:</w:t>
            </w:r>
          </w:p>
        </w:tc>
      </w:tr>
      <w:tr>
        <w:trPr/>
        <w:tc>
          <w:tcPr>
            <w:tcW w:w="3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0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1,980</w:t>
            </w:r>
            <w:r>
              <w:rPr>
                <w:color w:val="000000"/>
              </w:rPr>
              <w:t>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1,295 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4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3,525</w:t>
            </w:r>
            <w:r>
              <w:rPr>
                <w:color w:val="000000"/>
              </w:rPr>
              <w:t>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2,474 </w:t>
            </w:r>
          </w:p>
        </w:tc>
        <w:tc>
          <w:tcPr>
            <w:tcW w:w="2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allocated to RSUs</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allocated to common stock for diluted EPS</w:t>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0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1,969</w:t>
            </w:r>
            <w:r>
              <w:rPr>
                <w:color w:val="000000"/>
              </w:rPr>
              <w:t> </w:t>
            </w:r>
          </w:p>
        </w:tc>
        <w:tc>
          <w:tcPr>
            <w:tcW w:w="13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1,288 </w:t>
            </w:r>
          </w:p>
        </w:tc>
        <w:tc>
          <w:tcPr>
            <w:tcW w:w="13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4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3,505</w:t>
            </w:r>
            <w:r>
              <w:rPr>
                <w:color w:val="000000"/>
              </w:rPr>
              <w:t> </w:t>
            </w:r>
          </w:p>
        </w:tc>
        <w:tc>
          <w:tcPr>
            <w:tcW w:w="13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2,461 </w:t>
            </w:r>
          </w:p>
        </w:tc>
        <w:tc>
          <w:tcPr>
            <w:tcW w:w="20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See accompanying notes.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08"/>
        <w:gridCol w:w="1588"/>
        <w:gridCol w:w="1591"/>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5"/>
      </w:tblGrid>
      <w:tr>
        <w:trPr/>
        <w:tc>
          <w:tcPr>
            <w:tcW w:w="1808"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Six Months Ended</w:t>
            </w:r>
          </w:p>
        </w:tc>
      </w:tr>
      <w:tr>
        <w:trPr/>
        <w:tc>
          <w:tcPr>
            <w:tcW w:w="4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Consolidated Statements of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4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9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1,980</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1,295 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3,525</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2,474 </w:t>
            </w:r>
          </w:p>
        </w:tc>
        <w:tc>
          <w:tcPr>
            <w:tcW w:w="15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actuarial losses of defined benefit plans: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Recognized within net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Prior service cost (credit) of defined benefit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Recognized within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Available-for-sale investments and 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5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1,981</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3,527</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2,458 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See accompanying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tbl>
      <w:tblPr>
        <w:tblW w:w="10003" w:type="dxa"/>
        <w:jc w:val="left"/>
        <w:tblInd w:w="0" w:type="dxa"/>
        <w:tblLayout w:type="fixed"/>
        <w:tblCellMar>
          <w:top w:w="28" w:type="dxa"/>
          <w:left w:w="28" w:type="dxa"/>
          <w:bottom w:w="28" w:type="dxa"/>
          <w:right w:w="28" w:type="dxa"/>
        </w:tblCellMar>
      </w:tblPr>
      <w:tblGrid>
        <w:gridCol w:w="2558"/>
        <w:gridCol w:w="2251"/>
        <w:gridCol w:w="2255"/>
        <w:gridCol w:w="109"/>
        <w:gridCol w:w="109"/>
        <w:gridCol w:w="109"/>
        <w:gridCol w:w="211"/>
        <w:gridCol w:w="751"/>
        <w:gridCol w:w="109"/>
        <w:gridCol w:w="109"/>
        <w:gridCol w:w="109"/>
        <w:gridCol w:w="109"/>
        <w:gridCol w:w="229"/>
        <w:gridCol w:w="818"/>
        <w:gridCol w:w="167"/>
      </w:tblGrid>
      <w:tr>
        <w:trPr/>
        <w:tc>
          <w:tcPr>
            <w:tcW w:w="2558"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7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 except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3,660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3,225 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Accounts receivable, net of allowances of ($22) and ($22)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2,520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1,963 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 in process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2,407</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2,372 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4,605</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4,804 </w:t>
            </w:r>
          </w:p>
        </w:tc>
        <w:tc>
          <w:tcPr>
            <w:tcW w:w="16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15,757</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13,750 </w:t>
            </w:r>
          </w:p>
        </w:tc>
        <w:tc>
          <w:tcPr>
            <w:tcW w:w="16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17,856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17,682 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depreciation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(5,945)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(5,362)</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11,911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12,320 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4,330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4,330 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licenses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Overfunded retirement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2,237</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2,656 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35,882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34,585 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payable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3,244</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3,159 </w:t>
            </w:r>
          </w:p>
        </w:tc>
        <w:tc>
          <w:tcPr>
            <w:tcW w:w="16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12,903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13,548 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Underfunded retirement plans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123</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1,550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1,415 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17,875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18,312 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$25 par value. Shares authorized – 10; none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$1 par value. Shares authorized – 2,400; shares issued – 1,741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1,741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1,741 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53,161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52,236 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Treasury common stock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Shares: June 30, 2026 – 828; December 31, 2025 – 834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(41,941)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(42,130)</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 (loss), net of taxes (AOCI)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18,007</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16,273 </w:t>
            </w:r>
          </w:p>
        </w:tc>
        <w:tc>
          <w:tcPr>
            <w:tcW w:w="16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35,882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34,585 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See accompanying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tbl>
      <w:tblPr>
        <w:tblW w:w="8720" w:type="dxa"/>
        <w:jc w:val="left"/>
        <w:tblInd w:w="0" w:type="dxa"/>
        <w:tblLayout w:type="fixed"/>
        <w:tblCellMar>
          <w:top w:w="28" w:type="dxa"/>
          <w:left w:w="28" w:type="dxa"/>
          <w:bottom w:w="28" w:type="dxa"/>
          <w:right w:w="28" w:type="dxa"/>
        </w:tblCellMar>
      </w:tblPr>
      <w:tblGrid>
        <w:gridCol w:w="2205"/>
        <w:gridCol w:w="1940"/>
        <w:gridCol w:w="1944"/>
        <w:gridCol w:w="109"/>
        <w:gridCol w:w="109"/>
        <w:gridCol w:w="109"/>
        <w:gridCol w:w="211"/>
        <w:gridCol w:w="646"/>
        <w:gridCol w:w="109"/>
        <w:gridCol w:w="109"/>
        <w:gridCol w:w="109"/>
        <w:gridCol w:w="109"/>
        <w:gridCol w:w="211"/>
        <w:gridCol w:w="646"/>
        <w:gridCol w:w="154"/>
      </w:tblGrid>
      <w:tr>
        <w:trPr/>
        <w:tc>
          <w:tcPr>
            <w:tcW w:w="2205"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Six Months Ended</w:t>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Consolidated Statements of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6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net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capitalized software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on sales of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from changes in: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199</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accrued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payable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116</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funded status of retirement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4,223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(1,190)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(2,428)</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U.S. CHIPS and Science Act (CHIPS Act) incentives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asset sales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short-term investments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1,679</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investing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(1,749)</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 of debt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repurchases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common stock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beginning of period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3,225</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3,660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tax credit (ITC) used to reduce income taxes payable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CHIPS Act incentives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benefit related to the CHIPS Act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1,405</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See accompanying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val="false"/>
          <w:color w:val="000000"/>
          <w:sz w:val="20"/>
        </w:rPr>
        <w:t xml:space="preserve">1. </w:t>
      </w:r>
      <w:r>
        <w:rPr>
          <w:rFonts w:ascii="Arial;sans-serif" w:hAnsi="Arial;sans-serif"/>
          <w:b w:val="false"/>
          <w:color w:val="000000"/>
          <w:sz w:val="20"/>
          <w:u w:val="single"/>
        </w:rPr>
        <w:t>Description of business, including segment and geographic area information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design and manufacture semiconductors that we sell to electronics designers and manufacturers all over the world. We have two reportable segments, Analog and Embedded Processing, each of which represents groups of products that have similar design and development requirements, product characteristics and manufacturing processes. Our segments reflect how our chief operating decision maker (CODM), which is our chief executive officer, allocates resources and measures results.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Analog semiconductors change real-world signals, such as sound, temperature, pressure or light, by conditioning them, amplifying them and often converting them to a stream of digital data that can be processed by other semiconductors, such as embedded processors. Analog semiconductors are also used to manage power in all electronic equipment by converting, distributing, storing, discharging, isolating and measuring electrical energy, whether the equipment is plugged into a wall or using a battery. Our Analog segment consists of two major product lines: Power and Signal Chain.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Embedded Processing products are the digital “brains” of many types of electronic equipment. They are designed to handle specific tasks and can be optimized for various combinations of performance, power and cost, depending on the application.</w:t>
      </w:r>
    </w:p>
    <w:p>
      <w:pPr>
        <w:pStyle w:val="TextBody"/>
        <w:bidi w:val="0"/>
        <w:spacing w:lineRule="auto" w:line="288" w:before="240" w:after="283"/>
        <w:jc w:val="left"/>
        <w:rPr/>
      </w:pPr>
      <w:r>
        <w:rPr>
          <w:rFonts w:ascii="Arial;sans-serif" w:hAnsi="Arial;sans-serif"/>
          <w:b w:val="false"/>
          <w:color w:val="000000"/>
          <w:sz w:val="20"/>
        </w:rPr>
        <w:t>We report the results of our remaining business activities in Other. Other includes DLP</w:t>
      </w:r>
      <w:r>
        <w:rPr>
          <w:rFonts w:ascii="Arial;sans-serif" w:hAnsi="Arial;sans-serif"/>
          <w:b w:val="false"/>
          <w:color w:val="000000"/>
          <w:sz w:val="12"/>
        </w:rPr>
        <w:t>®</w:t>
      </w:r>
      <w:r>
        <w:rPr>
          <w:color w:val="000000"/>
        </w:rPr>
        <w:t xml:space="preserve"> </w:t>
      </w:r>
      <w:r>
        <w:rPr>
          <w:rFonts w:ascii="Arial;sans-serif" w:hAnsi="Arial;sans-serif"/>
          <w:b w:val="false"/>
          <w:color w:val="000000"/>
          <w:sz w:val="20"/>
        </w:rPr>
        <w:t>products and calculators, which are operating segments that do not meet the quantitative thresholds for individually reportable segments and cannot be aggregated with other operating segments.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Other, we also include items that are not used in evaluating the results of or in allocating resources to our segments. Examples of these items include acquisition, integration and restructuring charges, and certain corporate-level items, such as litigation expenses, environmental costs, insurance settlements, and gains and losses from other activities, including asset dispositions. We allocate the remainder of our expenses associated with corporate activities to our operating segments based on specific methodologies, such as percentage of operating expenses or headcount.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Costs incurred by our centralized manufacturing and support organizations, including depreciation, are charged to the operating segments, including those in Other, on a per-unit basis. Consequently, depreciation expense is not an independently identifiable component within the segments’ results and, therefore, is not provided.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With the exception of goodwill, we do not identify or allocate assets by operating segment, nor does the CODM evaluate operating segments using discrete asset information. We have no material intersegment revenue. The accounting policies of the segments are consistent with those described in the significant accounting policies and practices.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Segment information</w:t>
      </w:r>
    </w:p>
    <w:tbl>
      <w:tblPr>
        <w:tblW w:w="10863" w:type="dxa"/>
        <w:jc w:val="left"/>
        <w:tblInd w:w="0" w:type="dxa"/>
        <w:tblLayout w:type="fixed"/>
        <w:tblCellMar>
          <w:top w:w="28" w:type="dxa"/>
          <w:left w:w="28" w:type="dxa"/>
          <w:bottom w:w="28" w:type="dxa"/>
          <w:right w:w="28" w:type="dxa"/>
        </w:tblCellMar>
      </w:tblPr>
      <w:tblGrid>
        <w:gridCol w:w="516"/>
        <w:gridCol w:w="282"/>
        <w:gridCol w:w="283"/>
        <w:gridCol w:w="211"/>
        <w:gridCol w:w="646"/>
        <w:gridCol w:w="109"/>
        <w:gridCol w:w="109"/>
        <w:gridCol w:w="109"/>
        <w:gridCol w:w="109"/>
        <w:gridCol w:w="261"/>
        <w:gridCol w:w="595"/>
        <w:gridCol w:w="135"/>
        <w:gridCol w:w="109"/>
        <w:gridCol w:w="109"/>
        <w:gridCol w:w="109"/>
        <w:gridCol w:w="211"/>
        <w:gridCol w:w="481"/>
        <w:gridCol w:w="109"/>
        <w:gridCol w:w="109"/>
        <w:gridCol w:w="109"/>
        <w:gridCol w:w="109"/>
        <w:gridCol w:w="211"/>
        <w:gridCol w:w="646"/>
        <w:gridCol w:w="109"/>
        <w:gridCol w:w="109"/>
        <w:gridCol w:w="109"/>
        <w:gridCol w:w="109"/>
        <w:gridCol w:w="211"/>
        <w:gridCol w:w="646"/>
        <w:gridCol w:w="109"/>
        <w:gridCol w:w="109"/>
        <w:gridCol w:w="109"/>
        <w:gridCol w:w="109"/>
        <w:gridCol w:w="261"/>
        <w:gridCol w:w="595"/>
        <w:gridCol w:w="135"/>
        <w:gridCol w:w="109"/>
        <w:gridCol w:w="109"/>
        <w:gridCol w:w="109"/>
        <w:gridCol w:w="211"/>
        <w:gridCol w:w="481"/>
        <w:gridCol w:w="109"/>
        <w:gridCol w:w="109"/>
        <w:gridCol w:w="109"/>
        <w:gridCol w:w="109"/>
        <w:gridCol w:w="211"/>
        <w:gridCol w:w="64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Three Months Ended June 30,</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5"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Analog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Embedded Processing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Analog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Embedded Processing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4,365</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788</w:t>
            </w:r>
            <w:r>
              <w:rPr>
                <w:color w:val="000000"/>
              </w:rPr>
              <w:t> </w:t>
            </w:r>
          </w:p>
        </w:tc>
        <w:tc>
          <w:tcPr>
            <w:tcW w:w="13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310</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5,463</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3,452 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679 </w:t>
            </w:r>
          </w:p>
        </w:tc>
        <w:tc>
          <w:tcPr>
            <w:tcW w:w="13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4,448 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380</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2,729</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408</w:t>
            </w:r>
            <w:r>
              <w:rPr>
                <w:color w:val="000000"/>
              </w:rPr>
              <w:t> </w:t>
            </w:r>
          </w:p>
        </w:tc>
        <w:tc>
          <w:tcPr>
            <w:tcW w:w="13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215</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3,352</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2,057 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13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2,575 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R&amp;D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129</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SG&amp;A</w:t>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349</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111</w:t>
            </w:r>
            <w:r>
              <w:rPr>
                <w:color w:val="000000"/>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charges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1,992</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168</w:t>
            </w:r>
            <w:r>
              <w:rPr>
                <w:color w:val="000000"/>
              </w:rPr>
              <w:t> </w:t>
            </w:r>
          </w:p>
        </w:tc>
        <w:tc>
          <w:tcPr>
            <w:tcW w:w="13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2,310</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3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1,563 </w:t>
            </w:r>
          </w:p>
        </w:tc>
        <w:tc>
          <w:tcPr>
            <w:tcW w:w="15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TEXAS INSTRUMENTS INCORPORATED AND SUBSIDIARIES</w:t>
      </w:r>
    </w:p>
    <w:tbl>
      <w:tblPr>
        <w:tblW w:w="10968" w:type="dxa"/>
        <w:jc w:val="left"/>
        <w:tblInd w:w="0" w:type="dxa"/>
        <w:tblLayout w:type="fixed"/>
        <w:tblCellMar>
          <w:top w:w="28" w:type="dxa"/>
          <w:left w:w="28" w:type="dxa"/>
          <w:bottom w:w="28" w:type="dxa"/>
          <w:right w:w="28" w:type="dxa"/>
        </w:tblCellMar>
      </w:tblPr>
      <w:tblGrid>
        <w:gridCol w:w="516"/>
        <w:gridCol w:w="282"/>
        <w:gridCol w:w="283"/>
        <w:gridCol w:w="211"/>
        <w:gridCol w:w="646"/>
        <w:gridCol w:w="109"/>
        <w:gridCol w:w="109"/>
        <w:gridCol w:w="109"/>
        <w:gridCol w:w="109"/>
        <w:gridCol w:w="216"/>
        <w:gridCol w:w="662"/>
        <w:gridCol w:w="113"/>
        <w:gridCol w:w="109"/>
        <w:gridCol w:w="109"/>
        <w:gridCol w:w="109"/>
        <w:gridCol w:w="211"/>
        <w:gridCol w:w="481"/>
        <w:gridCol w:w="109"/>
        <w:gridCol w:w="109"/>
        <w:gridCol w:w="109"/>
        <w:gridCol w:w="109"/>
        <w:gridCol w:w="211"/>
        <w:gridCol w:w="751"/>
        <w:gridCol w:w="109"/>
        <w:gridCol w:w="109"/>
        <w:gridCol w:w="109"/>
        <w:gridCol w:w="109"/>
        <w:gridCol w:w="211"/>
        <w:gridCol w:w="646"/>
        <w:gridCol w:w="109"/>
        <w:gridCol w:w="109"/>
        <w:gridCol w:w="109"/>
        <w:gridCol w:w="109"/>
        <w:gridCol w:w="216"/>
        <w:gridCol w:w="662"/>
        <w:gridCol w:w="113"/>
        <w:gridCol w:w="109"/>
        <w:gridCol w:w="109"/>
        <w:gridCol w:w="109"/>
        <w:gridCol w:w="211"/>
        <w:gridCol w:w="481"/>
        <w:gridCol w:w="109"/>
        <w:gridCol w:w="109"/>
        <w:gridCol w:w="109"/>
        <w:gridCol w:w="109"/>
        <w:gridCol w:w="211"/>
        <w:gridCol w:w="64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7"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Six Months Ended June 30,</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0"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Analog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Embedded Processing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Analog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Embedded Processing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8,289</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1,511</w:t>
            </w:r>
            <w:r>
              <w:rPr>
                <w:color w:val="000000"/>
              </w:rPr>
              <w:t> </w:t>
            </w:r>
          </w:p>
        </w:tc>
        <w:tc>
          <w:tcPr>
            <w:tcW w:w="11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488</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10,288</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6,662 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1,326 </w:t>
            </w:r>
          </w:p>
        </w:tc>
        <w:tc>
          <w:tcPr>
            <w:tcW w:w="11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8,517 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754</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5,064</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757</w:t>
            </w:r>
            <w:r>
              <w:rPr>
                <w:color w:val="000000"/>
              </w:rPr>
              <w:t> </w:t>
            </w:r>
          </w:p>
        </w:tc>
        <w:tc>
          <w:tcPr>
            <w:tcW w:w="11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330</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6,151</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3,971 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586 </w:t>
            </w:r>
          </w:p>
        </w:tc>
        <w:tc>
          <w:tcPr>
            <w:tcW w:w="11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4,888 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R&amp;D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252</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SG&amp;A</w:t>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677</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215</w:t>
            </w:r>
            <w:r>
              <w:rPr>
                <w:color w:val="000000"/>
              </w:rPr>
              <w:t>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charges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3,630</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290</w:t>
            </w:r>
            <w:r>
              <w:rPr>
                <w:color w:val="000000"/>
              </w:rPr>
              <w:t> </w:t>
            </w:r>
          </w:p>
        </w:tc>
        <w:tc>
          <w:tcPr>
            <w:tcW w:w="11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198</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4,118</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2,531 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1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2,887 </w:t>
            </w:r>
          </w:p>
        </w:tc>
        <w:tc>
          <w:tcPr>
            <w:tcW w:w="15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Arial;sans-serif" w:hAnsi="Arial;sans-serif"/>
          <w:b w:val="false"/>
          <w:i/>
          <w:color w:val="000000"/>
          <w:sz w:val="20"/>
        </w:rPr>
      </w:pPr>
      <w:r>
        <w:rPr>
          <w:rFonts w:ascii="Arial;sans-serif" w:hAnsi="Arial;sans-serif"/>
          <w:b w:val="false"/>
          <w:i/>
          <w:color w:val="000000"/>
          <w:sz w:val="20"/>
        </w:rPr>
        <w:t>Geographic area information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estimate for revenue based on the geographic location of our end customers’ headquarters, which represents where critical decisions are made, is as follows:</w:t>
      </w:r>
    </w:p>
    <w:tbl>
      <w:tblPr>
        <w:tblW w:w="10287" w:type="dxa"/>
        <w:jc w:val="left"/>
        <w:tblInd w:w="0" w:type="dxa"/>
        <w:tblLayout w:type="fixed"/>
        <w:tblCellMar>
          <w:top w:w="28" w:type="dxa"/>
          <w:left w:w="28" w:type="dxa"/>
          <w:bottom w:w="28" w:type="dxa"/>
          <w:right w:w="28" w:type="dxa"/>
        </w:tblCellMar>
      </w:tblPr>
      <w:tblGrid>
        <w:gridCol w:w="332"/>
        <w:gridCol w:w="291"/>
        <w:gridCol w:w="293"/>
        <w:gridCol w:w="211"/>
        <w:gridCol w:w="646"/>
        <w:gridCol w:w="109"/>
        <w:gridCol w:w="109"/>
        <w:gridCol w:w="109"/>
        <w:gridCol w:w="109"/>
        <w:gridCol w:w="240"/>
        <w:gridCol w:w="241"/>
        <w:gridCol w:w="286"/>
        <w:gridCol w:w="109"/>
        <w:gridCol w:w="109"/>
        <w:gridCol w:w="109"/>
        <w:gridCol w:w="211"/>
        <w:gridCol w:w="646"/>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286"/>
        <w:gridCol w:w="109"/>
        <w:gridCol w:w="109"/>
        <w:gridCol w:w="109"/>
        <w:gridCol w:w="211"/>
        <w:gridCol w:w="646"/>
        <w:gridCol w:w="109"/>
        <w:gridCol w:w="109"/>
        <w:gridCol w:w="109"/>
        <w:gridCol w:w="109"/>
        <w:gridCol w:w="240"/>
        <w:gridCol w:w="241"/>
        <w:gridCol w:w="331"/>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Six Months Ended</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1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210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9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1,223</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2,247</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3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 of Asia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 Middle East and Africa (a)</w:t>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1,075</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2,145</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3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 of world</w:t>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189</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5,463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10,288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(a)Revenue from end customers headquartered in Germany was 9% and 10% in the second quarters of 2026 and 2025, respectively, and 10% in the first six months of both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val="false"/>
          <w:color w:val="000000"/>
          <w:sz w:val="20"/>
        </w:rPr>
        <w:t xml:space="preserve">2. </w:t>
      </w:r>
      <w:r>
        <w:rPr>
          <w:rFonts w:ascii="Arial;sans-serif" w:hAnsi="Arial;sans-serif"/>
          <w:b w:val="false"/>
          <w:color w:val="000000"/>
          <w:sz w:val="20"/>
          <w:u w:val="single"/>
        </w:rPr>
        <w:t>Basis of presentation and significant accounting policies and practices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Basis of presentation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consolidated financial statements have been prepared in accordance with accounting principles generally accepted in the United States (GAAP) and on the same basis as the audited financial statements included in our annual report on Form 10-K for the year ended December 31, 2025. The Consolidated Statements of Income, Comprehensive Income and Cash Flows for the periods ended June 30, 2026 and 2025, and the Consolidated Balance Sheet as of June 30, 2026,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2025. The results for the three- and six-month periods are not necessarily indicative of a full year’s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TEXAS INSTRUMENTS INCORPORATED AND SUBSIDIARIES </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Significant accounting policies and practices</w:t>
      </w:r>
    </w:p>
    <w:p>
      <w:pPr>
        <w:pStyle w:val="TextBody"/>
        <w:bidi w:val="0"/>
        <w:spacing w:lineRule="auto" w:line="288" w:before="240" w:after="283"/>
        <w:jc w:val="left"/>
        <w:rPr>
          <w:rFonts w:ascii="Arial;sans-serif" w:hAnsi="Arial;sans-serif"/>
          <w:b w:val="false"/>
          <w:i/>
          <w:color w:val="000000"/>
          <w:sz w:val="20"/>
          <w:u w:val="single"/>
        </w:rPr>
      </w:pPr>
      <w:r>
        <w:rPr>
          <w:rFonts w:ascii="Arial;sans-serif" w:hAnsi="Arial;sans-serif"/>
          <w:b w:val="false"/>
          <w:i/>
          <w:color w:val="000000"/>
          <w:sz w:val="20"/>
          <w:u w:val="single"/>
        </w:rPr>
        <w:t>Earnings per share (EPS)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use the two-class method for calculating EPS because the restricted stock units (RSUs) we grant are participating securities containing nonforfeitable rights to receive dividend equivalents. Under the two-class method, a portion of net income is allocated to RSUs and excluded from the calculation of income allocated to common stock.</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Computation and reconciliation of earnings per common share are as follows:</w:t>
      </w:r>
    </w:p>
    <w:tbl>
      <w:tblPr>
        <w:tblW w:w="10205" w:type="dxa"/>
        <w:jc w:val="left"/>
        <w:tblInd w:w="0" w:type="dxa"/>
        <w:tblLayout w:type="fixed"/>
        <w:tblCellMar>
          <w:top w:w="28" w:type="dxa"/>
          <w:left w:w="28" w:type="dxa"/>
          <w:bottom w:w="28" w:type="dxa"/>
          <w:right w:w="28" w:type="dxa"/>
        </w:tblCellMar>
      </w:tblPr>
      <w:tblGrid>
        <w:gridCol w:w="1300"/>
        <w:gridCol w:w="1060"/>
        <w:gridCol w:w="1052"/>
        <w:gridCol w:w="217"/>
        <w:gridCol w:w="668"/>
        <w:gridCol w:w="112"/>
        <w:gridCol w:w="109"/>
        <w:gridCol w:w="109"/>
        <w:gridCol w:w="109"/>
        <w:gridCol w:w="240"/>
        <w:gridCol w:w="241"/>
        <w:gridCol w:w="216"/>
        <w:gridCol w:w="109"/>
        <w:gridCol w:w="109"/>
        <w:gridCol w:w="109"/>
        <w:gridCol w:w="211"/>
        <w:gridCol w:w="541"/>
        <w:gridCol w:w="109"/>
        <w:gridCol w:w="109"/>
        <w:gridCol w:w="109"/>
        <w:gridCol w:w="109"/>
        <w:gridCol w:w="217"/>
        <w:gridCol w:w="668"/>
        <w:gridCol w:w="112"/>
        <w:gridCol w:w="109"/>
        <w:gridCol w:w="109"/>
        <w:gridCol w:w="109"/>
        <w:gridCol w:w="240"/>
        <w:gridCol w:w="241"/>
        <w:gridCol w:w="216"/>
        <w:gridCol w:w="109"/>
        <w:gridCol w:w="109"/>
        <w:gridCol w:w="109"/>
        <w:gridCol w:w="211"/>
        <w:gridCol w:w="541"/>
        <w:gridCol w:w="157"/>
      </w:tblGrid>
      <w:tr>
        <w:trPr/>
        <w:tc>
          <w:tcPr>
            <w:tcW w:w="130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9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Three Months Ended June 30,</w:t>
            </w:r>
          </w:p>
        </w:tc>
      </w:tr>
      <w:tr>
        <w:trPr/>
        <w:tc>
          <w:tcPr>
            <w:tcW w:w="34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EPS</w:t>
            </w:r>
          </w:p>
        </w:tc>
      </w:tr>
      <w:tr>
        <w:trPr/>
        <w:tc>
          <w:tcPr>
            <w:tcW w:w="34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 EPS:</w:t>
            </w:r>
          </w:p>
        </w:tc>
        <w:tc>
          <w:tcPr>
            <w:tcW w:w="997"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1,980</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allocated to RSUs</w:t>
            </w:r>
          </w:p>
        </w:tc>
        <w:tc>
          <w:tcPr>
            <w:tcW w:w="8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allocated to common stock</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1,969</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912</w:t>
            </w: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1,288 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stock compensation plans</w:t>
            </w:r>
          </w:p>
        </w:tc>
        <w:tc>
          <w:tcPr>
            <w:tcW w:w="99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EPS:</w:t>
            </w:r>
          </w:p>
        </w:tc>
        <w:tc>
          <w:tcPr>
            <w:tcW w:w="9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1,980</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allocated to RSUs</w:t>
            </w:r>
          </w:p>
        </w:tc>
        <w:tc>
          <w:tcPr>
            <w:tcW w:w="8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allocated to common stock</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1,969</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920</w:t>
            </w:r>
            <w:r>
              <w:rPr>
                <w:color w:val="000000"/>
              </w:rPr>
              <w:t>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1,288 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Six Months Ended June 30,</w:t>
            </w:r>
          </w:p>
        </w:tc>
      </w:tr>
      <w:tr>
        <w:trPr/>
        <w:tc>
          <w:tcPr>
            <w:tcW w:w="3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EPS</w:t>
            </w:r>
          </w:p>
        </w:tc>
      </w:tr>
      <w:tr>
        <w:trPr/>
        <w:tc>
          <w:tcPr>
            <w:tcW w:w="34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 EPS:</w:t>
            </w:r>
          </w:p>
        </w:tc>
        <w:tc>
          <w:tcPr>
            <w:tcW w:w="99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3,525</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allocated to RSUs</w:t>
            </w:r>
          </w:p>
        </w:tc>
        <w:tc>
          <w:tcPr>
            <w:tcW w:w="8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allocated to common stock</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3,505</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911</w:t>
            </w: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2,461 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stock compensation plans</w:t>
            </w:r>
          </w:p>
        </w:tc>
        <w:tc>
          <w:tcPr>
            <w:tcW w:w="99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EPS:</w:t>
            </w:r>
          </w:p>
        </w:tc>
        <w:tc>
          <w:tcPr>
            <w:tcW w:w="9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3,525</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allocated to RSUs</w:t>
            </w:r>
          </w:p>
        </w:tc>
        <w:tc>
          <w:tcPr>
            <w:tcW w:w="8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allocated to common stock</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3,505</w:t>
            </w:r>
            <w:r>
              <w:rPr>
                <w:color w:val="000000"/>
              </w:rPr>
              <w:t>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917</w:t>
            </w:r>
            <w:r>
              <w:rPr>
                <w:color w:val="000000"/>
              </w:rPr>
              <w:t> </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2,461 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914 </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Potentially dilutive securities excluded from the computation of diluted earnings per common share during the second quarter of 2026 were not material. Potentially dilutive securities representing 12 million shares of common stock that were outstanding during the second quarter of 2025, and 3 million and 12 million shares outstanding during the first six months of 2026 and 2025, respectively, were excluded from the computation of diluted earnings per common share during these periods because their effect would have been anti-dilutive.</w:t>
      </w:r>
    </w:p>
    <w:p>
      <w:pPr>
        <w:pStyle w:val="TextBody"/>
        <w:bidi w:val="0"/>
        <w:spacing w:lineRule="auto" w:line="288" w:before="240" w:after="283"/>
        <w:jc w:val="left"/>
        <w:rPr>
          <w:rFonts w:ascii="Arial;sans-serif" w:hAnsi="Arial;sans-serif"/>
          <w:b w:val="false"/>
          <w:i/>
          <w:color w:val="000000"/>
          <w:sz w:val="20"/>
          <w:u w:val="single"/>
        </w:rPr>
      </w:pPr>
      <w:r>
        <w:rPr>
          <w:rFonts w:ascii="Arial;sans-serif" w:hAnsi="Arial;sans-serif"/>
          <w:b w:val="false"/>
          <w:i/>
          <w:color w:val="000000"/>
          <w:sz w:val="20"/>
          <w:u w:val="single"/>
        </w:rPr>
        <w:t>Derivatives and hedging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TEXAS INSTRUMENTS INCORPORATED AND SUBSIDIARIES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are exposed to variability in compensation charges related to certain deferred compensation obligations to employees. We use total return swaps to economically hedge this exposure and offset the related compensation expense, recognizing changes in the fair value of the swaps and the related deferred compensation liabilities in SG&amp;A.</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In connection with the issuance of long-term debt, we may use financial derivatives such as treasury-rate lock agreements that are recognized in AOCI and amortized over the life of the related debt.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results of these derivative transactions were not material. We do not use derivatives for speculative or trading purposes.</w:t>
      </w:r>
    </w:p>
    <w:p>
      <w:pPr>
        <w:pStyle w:val="TextBody"/>
        <w:bidi w:val="0"/>
        <w:spacing w:lineRule="auto" w:line="288" w:before="240" w:after="283"/>
        <w:jc w:val="left"/>
        <w:rPr>
          <w:rFonts w:ascii="Arial;sans-serif" w:hAnsi="Arial;sans-serif"/>
          <w:b w:val="false"/>
          <w:i/>
          <w:color w:val="000000"/>
          <w:sz w:val="20"/>
          <w:u w:val="single"/>
        </w:rPr>
      </w:pPr>
      <w:r>
        <w:rPr>
          <w:rFonts w:ascii="Arial;sans-serif" w:hAnsi="Arial;sans-serif"/>
          <w:b w:val="false"/>
          <w:i/>
          <w:color w:val="000000"/>
          <w:sz w:val="20"/>
          <w:u w:val="single"/>
        </w:rPr>
        <w:t>Fair values of financial instruments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fair values of our derivative financial instruments were not material as of June 30, 2026. Our investments in cash equivalents, short-term investments and certain long-term investments, as well as our deferred compensation liabilities, are carried at fair value. The carrying values for other current financial assets and liabilities, such as accounts receivable and accounts payable, approximate fair value due to the short maturity of such instruments. As of June 30, 2026, the carrying value of long-term debt, including the current portion, was $14.05 billion, and the estimated fair value was $13.09 billion. The estimated fair value is measured using broker-dealer quotes, which are Level 2 inputs. See Note 4 for a description of fair value and the definition of Level 2 inputs.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Changes in accounting standards – standards not yet adopted</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We are currently evaluating the potential impact of the following Accounting Standards Updates (ASU) on our financial statements and related disclosures. We plan to adopt these ASUs as of their effective dates.</w:t>
      </w:r>
    </w:p>
    <w:tbl>
      <w:tblPr>
        <w:tblW w:w="10205" w:type="dxa"/>
        <w:jc w:val="left"/>
        <w:tblInd w:w="0" w:type="dxa"/>
        <w:tblLayout w:type="fixed"/>
        <w:tblCellMar>
          <w:top w:w="28" w:type="dxa"/>
          <w:left w:w="28" w:type="dxa"/>
          <w:bottom w:w="28" w:type="dxa"/>
          <w:right w:w="28" w:type="dxa"/>
        </w:tblCellMar>
      </w:tblPr>
      <w:tblGrid>
        <w:gridCol w:w="375"/>
        <w:gridCol w:w="330"/>
        <w:gridCol w:w="339"/>
        <w:gridCol w:w="109"/>
        <w:gridCol w:w="109"/>
        <w:gridCol w:w="109"/>
        <w:gridCol w:w="2305"/>
        <w:gridCol w:w="2305"/>
        <w:gridCol w:w="2323"/>
        <w:gridCol w:w="109"/>
        <w:gridCol w:w="109"/>
        <w:gridCol w:w="109"/>
        <w:gridCol w:w="538"/>
        <w:gridCol w:w="427"/>
        <w:gridCol w:w="609"/>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Effective for Period Ending</w:t>
            </w:r>
          </w:p>
        </w:tc>
      </w:tr>
      <w:tr>
        <w:trPr/>
        <w:tc>
          <w:tcPr>
            <w:tcW w:w="1044"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ASU No. 2024-03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3"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Income Statement – Reporting Comprehensive Income – Expense Disaggregation Disclosures (Subtopic 220-40): Disaggregation of Income Statement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31, 2027</w:t>
            </w:r>
          </w:p>
        </w:tc>
      </w:tr>
      <w:tr>
        <w:trPr/>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ASU No. 2025-06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Intangibles – Goodwill and Other – Internal-Use Software (Subtopic 350-40): Targeted Improvements to the Accounting for Internal-Use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31, 2028</w:t>
            </w:r>
          </w:p>
        </w:tc>
      </w:tr>
      <w:tr>
        <w:trPr/>
        <w:tc>
          <w:tcPr>
            <w:tcW w:w="10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ASU No. 2025-10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Government Grants (Topic 832): Accounting for Government Grants Received by Business Entities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31, 2029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val="false"/>
          <w:color w:val="000000"/>
          <w:sz w:val="20"/>
        </w:rPr>
        <w:t xml:space="preserve">3. </w:t>
      </w:r>
      <w:r>
        <w:rPr>
          <w:rFonts w:ascii="Arial;sans-serif" w:hAnsi="Arial;sans-serif"/>
          <w:b w:val="false"/>
          <w:color w:val="000000"/>
          <w:sz w:val="20"/>
          <w:u w:val="single"/>
        </w:rPr>
        <w:t>Income taxes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Provision for income taxes is based on the following:</w:t>
      </w:r>
    </w:p>
    <w:tbl>
      <w:tblPr>
        <w:tblW w:w="10205" w:type="dxa"/>
        <w:jc w:val="left"/>
        <w:tblInd w:w="0" w:type="dxa"/>
        <w:tblLayout w:type="fixed"/>
        <w:tblCellMar>
          <w:top w:w="28" w:type="dxa"/>
          <w:left w:w="28" w:type="dxa"/>
          <w:bottom w:w="28" w:type="dxa"/>
          <w:right w:w="28" w:type="dxa"/>
        </w:tblCellMar>
      </w:tblPr>
      <w:tblGrid>
        <w:gridCol w:w="1906"/>
        <w:gridCol w:w="1675"/>
        <w:gridCol w:w="1685"/>
        <w:gridCol w:w="211"/>
        <w:gridCol w:w="481"/>
        <w:gridCol w:w="286"/>
        <w:gridCol w:w="109"/>
        <w:gridCol w:w="109"/>
        <w:gridCol w:w="109"/>
        <w:gridCol w:w="211"/>
        <w:gridCol w:w="481"/>
        <w:gridCol w:w="286"/>
        <w:gridCol w:w="109"/>
        <w:gridCol w:w="109"/>
        <w:gridCol w:w="109"/>
        <w:gridCol w:w="211"/>
        <w:gridCol w:w="481"/>
        <w:gridCol w:w="286"/>
        <w:gridCol w:w="109"/>
        <w:gridCol w:w="109"/>
        <w:gridCol w:w="109"/>
        <w:gridCol w:w="211"/>
        <w:gridCol w:w="481"/>
        <w:gridCol w:w="332"/>
      </w:tblGrid>
      <w:tr>
        <w:trPr/>
        <w:tc>
          <w:tcPr>
            <w:tcW w:w="1906"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Six Months Ended</w:t>
            </w:r>
          </w:p>
        </w:tc>
      </w:tr>
      <w:tr>
        <w:trPr/>
        <w:tc>
          <w:tcPr>
            <w:tcW w:w="5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52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2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calculated using the estimated annual effective tax rate</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309</w:t>
            </w:r>
            <w:r>
              <w:rPr>
                <w:color w:val="000000"/>
              </w:rPr>
              <w:t>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538</w:t>
            </w:r>
            <w:r>
              <w:rPr>
                <w:color w:val="000000"/>
              </w:rPr>
              <w:t>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365 </w:t>
            </w:r>
          </w:p>
        </w:tc>
        <w:tc>
          <w:tcPr>
            <w:tcW w:w="33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Discrete tax items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258</w:t>
            </w:r>
            <w:r>
              <w:rPr>
                <w:color w:val="000000"/>
              </w:rPr>
              <w:t>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427</w:t>
            </w:r>
            <w:r>
              <w:rPr>
                <w:color w:val="000000"/>
              </w:rPr>
              <w:t>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33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3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effective tax rate differs from the 21% U.S. statutory corporate tax rate due to the effect of U.S. tax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TEXAS INSTRUMENTS INCORPORATED AND SUBSIDIARIES </w:t>
      </w:r>
    </w:p>
    <w:p>
      <w:pPr>
        <w:pStyle w:val="TextBody"/>
        <w:bidi w:val="0"/>
        <w:spacing w:lineRule="auto" w:line="288" w:before="240" w:after="283"/>
        <w:jc w:val="left"/>
        <w:rPr/>
      </w:pPr>
      <w:r>
        <w:rPr>
          <w:rFonts w:ascii="Arial;sans-serif" w:hAnsi="Arial;sans-serif"/>
          <w:b w:val="false"/>
          <w:color w:val="000000"/>
          <w:sz w:val="20"/>
        </w:rPr>
        <w:t xml:space="preserve">4. </w:t>
      </w:r>
      <w:r>
        <w:rPr>
          <w:rFonts w:ascii="Arial;sans-serif" w:hAnsi="Arial;sans-serif"/>
          <w:b w:val="false"/>
          <w:color w:val="000000"/>
          <w:sz w:val="20"/>
          <w:u w:val="single"/>
        </w:rPr>
        <w:t>Valuation of debt and equity investments and certain liabilities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Investments measured at fair value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Money market funds, debt investments and mutual funds are stated at fair value, which is generally based on market prices or broker quotes. We classify all debt investments as available-for-sale. Unrealized gains and losses are recorded as an increase or decrease, net of taxes, in AOCI on our Consolidated Balance Sheets, and any credit losses are recorded as an allowance for credit losses with an offset recognized in OI&amp;E in our Consolidated Statements of Income.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Other investments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other investments include equity-method investments and nonmarketable investments, which are not measured at fair value. These investments consist of interests in venture capital funds and other nonmarketable securities. Gains and losses from equity-method investments are recognized in OI&amp;E based on our ownership share of the investee’s financial results. Nonmarketable securities are measured at cost with adjustments for observable changes in price or impairments. Gains and losses on nonmarketable investments are recognized in OI&amp;E.</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Details of our investments are as follows:</w:t>
      </w:r>
    </w:p>
    <w:tbl>
      <w:tblPr>
        <w:tblW w:w="10205" w:type="dxa"/>
        <w:jc w:val="left"/>
        <w:tblInd w:w="0" w:type="dxa"/>
        <w:tblLayout w:type="fixed"/>
        <w:tblCellMar>
          <w:top w:w="28" w:type="dxa"/>
          <w:left w:w="28" w:type="dxa"/>
          <w:bottom w:w="28" w:type="dxa"/>
          <w:right w:w="28" w:type="dxa"/>
        </w:tblCellMar>
      </w:tblPr>
      <w:tblGrid>
        <w:gridCol w:w="691"/>
        <w:gridCol w:w="432"/>
        <w:gridCol w:w="433"/>
        <w:gridCol w:w="257"/>
        <w:gridCol w:w="787"/>
        <w:gridCol w:w="134"/>
        <w:gridCol w:w="109"/>
        <w:gridCol w:w="109"/>
        <w:gridCol w:w="109"/>
        <w:gridCol w:w="259"/>
        <w:gridCol w:w="794"/>
        <w:gridCol w:w="135"/>
        <w:gridCol w:w="109"/>
        <w:gridCol w:w="109"/>
        <w:gridCol w:w="109"/>
        <w:gridCol w:w="323"/>
        <w:gridCol w:w="623"/>
        <w:gridCol w:w="167"/>
        <w:gridCol w:w="109"/>
        <w:gridCol w:w="109"/>
        <w:gridCol w:w="109"/>
        <w:gridCol w:w="257"/>
        <w:gridCol w:w="787"/>
        <w:gridCol w:w="134"/>
        <w:gridCol w:w="109"/>
        <w:gridCol w:w="109"/>
        <w:gridCol w:w="109"/>
        <w:gridCol w:w="259"/>
        <w:gridCol w:w="794"/>
        <w:gridCol w:w="135"/>
        <w:gridCol w:w="109"/>
        <w:gridCol w:w="109"/>
        <w:gridCol w:w="109"/>
        <w:gridCol w:w="316"/>
        <w:gridCol w:w="610"/>
        <w:gridCol w:w="243"/>
      </w:tblGrid>
      <w:tr>
        <w:trPr/>
        <w:tc>
          <w:tcPr>
            <w:tcW w:w="69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Long-Term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Long-Term Assets</w:t>
            </w:r>
          </w:p>
        </w:tc>
      </w:tr>
      <w:tr>
        <w:trPr/>
        <w:tc>
          <w:tcPr>
            <w:tcW w:w="15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Measured at fair value:</w:t>
            </w:r>
          </w:p>
        </w:tc>
        <w:tc>
          <w:tcPr>
            <w:tcW w:w="1178"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823</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obligations</w:t>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541</w:t>
            </w:r>
            <w:r>
              <w:rPr>
                <w:color w:val="000000"/>
              </w:rPr>
              <w:t>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1,013</w:t>
            </w:r>
            <w:r>
              <w:rPr>
                <w:color w:val="000000"/>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and agency securities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1,659</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2,032</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Non-U.S. government and agency securities</w:t>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249</w:t>
            </w:r>
            <w:r>
              <w:rPr>
                <w:color w:val="000000"/>
              </w:rPr>
              <w:t>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296</w:t>
            </w:r>
            <w:r>
              <w:rPr>
                <w:color w:val="000000"/>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Mutual funds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04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3,272</w:t>
            </w:r>
            <w:r>
              <w:rPr>
                <w:color w:val="000000"/>
              </w:rPr>
              <w:t> </w:t>
            </w:r>
          </w:p>
        </w:tc>
        <w:tc>
          <w:tcPr>
            <w:tcW w:w="13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3,341</w:t>
            </w:r>
            <w:r>
              <w:rPr>
                <w:color w:val="000000"/>
              </w:rPr>
              <w:t> </w:t>
            </w:r>
          </w:p>
        </w:tc>
        <w:tc>
          <w:tcPr>
            <w:tcW w:w="13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16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2,841 </w:t>
            </w:r>
          </w:p>
        </w:tc>
        <w:tc>
          <w:tcPr>
            <w:tcW w:w="13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1,656 </w:t>
            </w:r>
          </w:p>
        </w:tc>
        <w:tc>
          <w:tcPr>
            <w:tcW w:w="13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4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investments</w:t>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on hand</w:t>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388</w:t>
            </w:r>
            <w:r>
              <w:rPr>
                <w:color w:val="000000"/>
              </w:rPr>
              <w:t>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3,660</w:t>
            </w:r>
            <w:r>
              <w:rPr>
                <w:color w:val="000000"/>
              </w:rPr>
              <w:t>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3,341</w:t>
            </w:r>
            <w:r>
              <w:rPr>
                <w:color w:val="000000"/>
              </w:rPr>
              <w:t>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3,225 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1,656 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As of June 30, 2026, and December 31, 2025, unrealized gains and losses associated with our debt investments were not material. We did not recognize any credit losses related to debt investments for the first six months of 2026 and 2025.</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table presents the aggregate maturities of our debt investments as of June 30, 2026:</w:t>
      </w:r>
    </w:p>
    <w:tbl>
      <w:tblPr>
        <w:tblW w:w="4250" w:type="dxa"/>
        <w:jc w:val="left"/>
        <w:tblInd w:w="0" w:type="dxa"/>
        <w:tblLayout w:type="fixed"/>
        <w:tblCellMar>
          <w:top w:w="28" w:type="dxa"/>
          <w:left w:w="28" w:type="dxa"/>
          <w:bottom w:w="28" w:type="dxa"/>
          <w:right w:w="28" w:type="dxa"/>
        </w:tblCellMar>
      </w:tblPr>
      <w:tblGrid>
        <w:gridCol w:w="579"/>
        <w:gridCol w:w="511"/>
        <w:gridCol w:w="514"/>
        <w:gridCol w:w="109"/>
        <w:gridCol w:w="109"/>
        <w:gridCol w:w="109"/>
        <w:gridCol w:w="109"/>
        <w:gridCol w:w="109"/>
        <w:gridCol w:w="109"/>
        <w:gridCol w:w="109"/>
        <w:gridCol w:w="109"/>
        <w:gridCol w:w="109"/>
        <w:gridCol w:w="109"/>
        <w:gridCol w:w="109"/>
        <w:gridCol w:w="109"/>
        <w:gridCol w:w="109"/>
        <w:gridCol w:w="109"/>
        <w:gridCol w:w="109"/>
        <w:gridCol w:w="211"/>
        <w:gridCol w:w="646"/>
        <w:gridCol w:w="154"/>
      </w:tblGrid>
      <w:tr>
        <w:trPr/>
        <w:tc>
          <w:tcPr>
            <w:tcW w:w="57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16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One year or less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5,202 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One to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Proceeds from sales, redemptions and maturities of short-term debt investments were $636 million and $1.13 billion for the second quarters of 2026 and 2025, respectively, and $1.68 billion and $3.94 billion for the first six months of 2026 and 2025, respectively. Gross realized gains and losses from these sales were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TEXAS INSTRUMENTS INCORPORATED AND SUBSIDIARIES </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Fair-value considerations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measure and report certain financial assets and liabilities at fair value on a recurring basis. Fair value is defined as the price that would be received to sell an asset or paid to transfer a liability in an orderly transaction between market participants on the measurement date. The three-level hierarchy described below indicates the inputs used to estimate fair-value measurements.</w:t>
      </w:r>
    </w:p>
    <w:p>
      <w:pPr>
        <w:pStyle w:val="TextBody"/>
        <w:bidi w:val="0"/>
        <w:spacing w:lineRule="auto" w:line="288" w:before="240" w:after="120"/>
        <w:ind w:left="0" w:right="0" w:hanging="360"/>
        <w:jc w:val="left"/>
        <w:rPr/>
      </w:pPr>
      <w:r>
        <w:rPr>
          <w:color w:val="000000"/>
        </w:rPr>
        <w:t>•</w:t>
      </w:r>
      <w:r>
        <w:rPr>
          <w:rFonts w:ascii="Arial;sans-serif" w:hAnsi="Arial;sans-serif"/>
          <w:b w:val="false"/>
          <w:i/>
          <w:color w:val="000000"/>
          <w:sz w:val="20"/>
        </w:rPr>
        <w:t>Level 1</w:t>
      </w:r>
      <w:r>
        <w:rPr>
          <w:color w:val="000000"/>
        </w:rPr>
        <w:t xml:space="preserve"> – </w:t>
      </w:r>
      <w:r>
        <w:rPr>
          <w:rFonts w:ascii="Arial;sans-serif" w:hAnsi="Arial;sans-serif"/>
          <w:b w:val="false"/>
          <w:color w:val="000000"/>
          <w:sz w:val="20"/>
        </w:rPr>
        <w:t>Uses unadjusted quoted prices that are available in active markets for identical assets or liabilities as of the measurement date.</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Level 2</w:t>
      </w:r>
      <w:r>
        <w:rPr>
          <w:color w:val="000000"/>
        </w:rPr>
        <w:t xml:space="preserve"> – </w:t>
      </w:r>
      <w:r>
        <w:rPr>
          <w:rFonts w:ascii="Arial;sans-serif" w:hAnsi="Arial;sans-serif"/>
          <w:b w:val="false"/>
          <w:color w:val="000000"/>
          <w:sz w:val="20"/>
        </w:rPr>
        <w:t>Uses inputs other than Level 1 that are either directly or indirectly observable as of the measurement date through correlation with market data. Inputs include quoted prices for similar assets and liabilities in active markets, quoted prices in markets that are not active and models or other pricing methodologies that do not require significant judgment. We utilize a third-party data service to provide Level 2 valuations, and we verify these valuations for reasonableness.</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Level 3</w:t>
      </w:r>
      <w:r>
        <w:rPr>
          <w:color w:val="000000"/>
        </w:rPr>
        <w:t xml:space="preserve"> – </w:t>
      </w:r>
      <w:r>
        <w:rPr>
          <w:rFonts w:ascii="Arial;sans-serif" w:hAnsi="Arial;sans-serif"/>
          <w:b w:val="false"/>
          <w:color w:val="000000"/>
          <w:sz w:val="20"/>
        </w:rPr>
        <w:t>Uses inputs that are unobservable, supported by little or no market activity and reflect the use of significant management judgment. As of June 30, 2026, and December 31, 2025, we had no Level 3 assets or liabilities.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tbl>
      <w:tblPr>
        <w:tblW w:w="10205" w:type="dxa"/>
        <w:jc w:val="left"/>
        <w:tblInd w:w="0" w:type="dxa"/>
        <w:tblLayout w:type="fixed"/>
        <w:tblCellMar>
          <w:top w:w="28" w:type="dxa"/>
          <w:left w:w="28" w:type="dxa"/>
          <w:bottom w:w="28" w:type="dxa"/>
          <w:right w:w="28" w:type="dxa"/>
        </w:tblCellMar>
      </w:tblPr>
      <w:tblGrid>
        <w:gridCol w:w="1165"/>
        <w:gridCol w:w="778"/>
        <w:gridCol w:w="784"/>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6"/>
      </w:tblGrid>
      <w:tr>
        <w:trPr/>
        <w:tc>
          <w:tcPr>
            <w:tcW w:w="116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7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7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96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obligations</w:t>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1,554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1,554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and agency securities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Non-U.S. government and agency securities</w:t>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545</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545</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Mutual funds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4,176</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2,448</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6,624</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2,787 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1,721 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4,508 </w:t>
            </w:r>
          </w:p>
        </w:tc>
        <w:tc>
          <w:tcPr>
            <w:tcW w:w="15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w:t>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compensation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492 </w:t>
            </w:r>
          </w:p>
        </w:tc>
        <w:tc>
          <w:tcPr>
            <w:tcW w:w="15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TEXAS INSTRUMENTS INCORPORATED AND SUBSIDIARIES </w:t>
      </w:r>
    </w:p>
    <w:p>
      <w:pPr>
        <w:pStyle w:val="TextBody"/>
        <w:bidi w:val="0"/>
        <w:spacing w:lineRule="auto" w:line="288" w:before="240" w:after="283"/>
        <w:jc w:val="left"/>
        <w:rPr/>
      </w:pPr>
      <w:r>
        <w:rPr>
          <w:rFonts w:ascii="Arial;sans-serif" w:hAnsi="Arial;sans-serif"/>
          <w:b w:val="false"/>
          <w:color w:val="000000"/>
          <w:sz w:val="20"/>
        </w:rPr>
        <w:t xml:space="preserve">5. </w:t>
      </w:r>
      <w:r>
        <w:rPr>
          <w:rFonts w:ascii="Arial;sans-serif" w:hAnsi="Arial;sans-serif"/>
          <w:b w:val="false"/>
          <w:color w:val="000000"/>
          <w:sz w:val="20"/>
          <w:u w:val="single"/>
        </w:rPr>
        <w:t>Postretirement benefit plans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Expenses related to defined benefit and retiree health care benefit plans are as follows:</w:t>
      </w:r>
    </w:p>
    <w:tbl>
      <w:tblPr>
        <w:tblW w:w="10205" w:type="dxa"/>
        <w:jc w:val="left"/>
        <w:tblInd w:w="0" w:type="dxa"/>
        <w:tblLayout w:type="fixed"/>
        <w:tblCellMar>
          <w:top w:w="28" w:type="dxa"/>
          <w:left w:w="28" w:type="dxa"/>
          <w:bottom w:w="28" w:type="dxa"/>
          <w:right w:w="28" w:type="dxa"/>
        </w:tblCellMar>
      </w:tblPr>
      <w:tblGrid>
        <w:gridCol w:w="1490"/>
        <w:gridCol w:w="1196"/>
        <w:gridCol w:w="1208"/>
        <w:gridCol w:w="219"/>
        <w:gridCol w:w="281"/>
        <w:gridCol w:w="113"/>
        <w:gridCol w:w="113"/>
        <w:gridCol w:w="113"/>
        <w:gridCol w:w="113"/>
        <w:gridCol w:w="219"/>
        <w:gridCol w:w="392"/>
        <w:gridCol w:w="113"/>
        <w:gridCol w:w="109"/>
        <w:gridCol w:w="109"/>
        <w:gridCol w:w="109"/>
        <w:gridCol w:w="229"/>
        <w:gridCol w:w="442"/>
        <w:gridCol w:w="118"/>
        <w:gridCol w:w="118"/>
        <w:gridCol w:w="118"/>
        <w:gridCol w:w="118"/>
        <w:gridCol w:w="229"/>
        <w:gridCol w:w="442"/>
        <w:gridCol w:w="118"/>
        <w:gridCol w:w="109"/>
        <w:gridCol w:w="109"/>
        <w:gridCol w:w="109"/>
        <w:gridCol w:w="255"/>
        <w:gridCol w:w="491"/>
        <w:gridCol w:w="131"/>
        <w:gridCol w:w="131"/>
        <w:gridCol w:w="131"/>
        <w:gridCol w:w="131"/>
        <w:gridCol w:w="255"/>
        <w:gridCol w:w="327"/>
        <w:gridCol w:w="197"/>
      </w:tblGrid>
      <w:tr>
        <w:trPr/>
        <w:tc>
          <w:tcPr>
            <w:tcW w:w="1490"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 Defined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 Retiree Health 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Non-U.S. Defined Benefit</w:t>
            </w:r>
          </w:p>
        </w:tc>
      </w:tr>
      <w:tr>
        <w:trPr/>
        <w:tc>
          <w:tcPr>
            <w:tcW w:w="3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For Three Months Ended June 30,</w:t>
            </w:r>
          </w:p>
        </w:tc>
        <w:tc>
          <w:tcPr>
            <w:tcW w:w="6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8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21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1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1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4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3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9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5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Recognized net actuarial losses (gains)</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prior service cost (credit)</w:t>
            </w:r>
          </w:p>
        </w:tc>
        <w:tc>
          <w:tcPr>
            <w:tcW w:w="5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costs (credits)</w:t>
            </w:r>
          </w:p>
        </w:tc>
        <w:tc>
          <w:tcPr>
            <w:tcW w:w="5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losses (gains)</w:t>
            </w:r>
          </w:p>
        </w:tc>
        <w:tc>
          <w:tcPr>
            <w:tcW w:w="5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including other postretirement losses (gains)</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 Defined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 Retiree Health 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Non-U.S. Defined Benefit</w:t>
            </w:r>
          </w:p>
        </w:tc>
      </w:tr>
      <w:tr>
        <w:trPr/>
        <w:tc>
          <w:tcPr>
            <w:tcW w:w="3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For Six Months Ended June 30,</w:t>
            </w:r>
          </w:p>
        </w:tc>
        <w:tc>
          <w:tcPr>
            <w:tcW w:w="6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8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21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1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1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4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13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9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5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(39)</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Recognized net actuarial losses (gains)</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prior service cost (credit)</w:t>
            </w:r>
          </w:p>
        </w:tc>
        <w:tc>
          <w:tcPr>
            <w:tcW w:w="5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costs (credits)</w:t>
            </w:r>
          </w:p>
        </w:tc>
        <w:tc>
          <w:tcPr>
            <w:tcW w:w="5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losses (gains)</w:t>
            </w:r>
          </w:p>
        </w:tc>
        <w:tc>
          <w:tcPr>
            <w:tcW w:w="5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including other postretirement losses (gains)</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val="false"/>
          <w:color w:val="000000"/>
          <w:sz w:val="20"/>
        </w:rPr>
        <w:t xml:space="preserve">6. </w:t>
      </w:r>
      <w:r>
        <w:rPr>
          <w:rFonts w:ascii="Arial;sans-serif" w:hAnsi="Arial;sans-serif"/>
          <w:b w:val="false"/>
          <w:color w:val="000000"/>
          <w:sz w:val="20"/>
          <w:u w:val="single"/>
        </w:rPr>
        <w:t>Debt and lines of credit</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Short-term borrowings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maintain a line of credit to provide additional liquidity through bank loans and, if necessary, to support commercial paper borrowings. As of June 30, 2026, the aforementioned line of credit was a variable-rate, revolving credit facility from a consortium of investment-grade banks that allows us to borrow up to $1 billion until March 2027. The interest rate on borrowings under this credit facility, if drawn, is indexed to the applicable Term Secured Overnight Financing Rate (Term SOFR). As of June 30, 2026, our credit facility was undrawn, and we had no commercial paper outstanding.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June 2026, we entered into a 364-day delayed draw term loan credit facility for borrowings up to $5 billion to support the Silicon Labs acquisition consideration and related transaction expenses. The availability of funding is conditioned on the consummation of the planned acquisition of Silicon Labs. As of June 30, 2026, there were no outstanding borrowings on the delayed draw term loan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TEXAS INSTRUMENTS INCORPORATED AND SUBSIDIARIES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Long-term debt outstanding is as follows:</w:t>
      </w:r>
    </w:p>
    <w:tbl>
      <w:tblPr>
        <w:tblW w:w="9572" w:type="dxa"/>
        <w:jc w:val="left"/>
        <w:tblInd w:w="0" w:type="dxa"/>
        <w:tblLayout w:type="fixed"/>
        <w:tblCellMar>
          <w:top w:w="28" w:type="dxa"/>
          <w:left w:w="28" w:type="dxa"/>
          <w:bottom w:w="28" w:type="dxa"/>
          <w:right w:w="28" w:type="dxa"/>
        </w:tblCellMar>
      </w:tblPr>
      <w:tblGrid>
        <w:gridCol w:w="2515"/>
        <w:gridCol w:w="2216"/>
        <w:gridCol w:w="2228"/>
        <w:gridCol w:w="211"/>
        <w:gridCol w:w="751"/>
        <w:gridCol w:w="109"/>
        <w:gridCol w:w="109"/>
        <w:gridCol w:w="109"/>
        <w:gridCol w:w="109"/>
        <w:gridCol w:w="229"/>
        <w:gridCol w:w="818"/>
        <w:gridCol w:w="168"/>
      </w:tblGrid>
      <w:tr>
        <w:trPr/>
        <w:tc>
          <w:tcPr>
            <w:tcW w:w="2515"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2026 at 1.125%</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6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2027 at 4.60%</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2027 at 2.90%</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2028 at 4.60%</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2029 at 4.60%</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2029 at 2.25%</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2030 at 1.75%</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2030 at 4.50%</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2031 at 1.90%</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2032 at 3.65%</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2033 at 4.90%</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950 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2034 at 4.85%</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2035 at 5.10%</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2039 at 3.875%</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2048 at 4.15%</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2051 at 2.70%</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2052 at 4.10%</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2053 at 5.00%</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2054 at 5.15%</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due 2063 at 5.05%</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debt</w:t>
            </w:r>
          </w:p>
        </w:tc>
        <w:tc>
          <w:tcPr>
            <w:tcW w:w="9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14,150</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14,150 </w:t>
            </w:r>
          </w:p>
        </w:tc>
        <w:tc>
          <w:tcPr>
            <w:tcW w:w="16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unamortized discounts, premiums and issuance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debt, including net unamortized discounts, premiums and issuance costs</w:t>
            </w:r>
          </w:p>
        </w:tc>
        <w:tc>
          <w:tcPr>
            <w:tcW w:w="9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14,052</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14,048 </w:t>
            </w:r>
          </w:p>
        </w:tc>
        <w:tc>
          <w:tcPr>
            <w:tcW w:w="16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12,903</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13,548 </w:t>
            </w:r>
          </w:p>
        </w:tc>
        <w:tc>
          <w:tcPr>
            <w:tcW w:w="16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Interest and debt expense was $141 million and $133 million for the second quarters of 2026 and 2025, respectively, and $282 million and $261 million for the first six months of 2026 and 2025, respectively. This is inclusive of amortized discounts, premiums and issuance and other related costs. Capitalized interest was $3 million and $2 million for the second quarters of 2026 and 2025, respectively, and $6 million for the first six months of both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TEXAS INSTRUMENTS INCORPORATED AND SUBSIDIARIES</w:t>
      </w:r>
    </w:p>
    <w:p>
      <w:pPr>
        <w:pStyle w:val="TextBody"/>
        <w:bidi w:val="0"/>
        <w:spacing w:lineRule="auto" w:line="288" w:before="240" w:after="283"/>
        <w:jc w:val="left"/>
        <w:rPr/>
      </w:pPr>
      <w:r>
        <w:rPr>
          <w:rFonts w:ascii="Arial;sans-serif" w:hAnsi="Arial;sans-serif"/>
          <w:b w:val="false"/>
          <w:color w:val="000000"/>
          <w:sz w:val="20"/>
        </w:rPr>
        <w:t xml:space="preserve">7. </w:t>
      </w:r>
      <w:r>
        <w:rPr>
          <w:rFonts w:ascii="Arial;sans-serif" w:hAnsi="Arial;sans-serif"/>
          <w:b w:val="false"/>
          <w:color w:val="000000"/>
          <w:sz w:val="20"/>
          <w:u w:val="single"/>
        </w:rPr>
        <w:t>Stockholders’ equity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Changes in equity are as follows:</w:t>
      </w:r>
    </w:p>
    <w:tbl>
      <w:tblPr>
        <w:tblW w:w="10205" w:type="dxa"/>
        <w:jc w:val="left"/>
        <w:tblInd w:w="0" w:type="dxa"/>
        <w:tblLayout w:type="fixed"/>
        <w:tblCellMar>
          <w:top w:w="28" w:type="dxa"/>
          <w:left w:w="28" w:type="dxa"/>
          <w:bottom w:w="28" w:type="dxa"/>
          <w:right w:w="28" w:type="dxa"/>
        </w:tblCellMar>
      </w:tblPr>
      <w:tblGrid>
        <w:gridCol w:w="1313"/>
        <w:gridCol w:w="852"/>
        <w:gridCol w:w="855"/>
        <w:gridCol w:w="249"/>
        <w:gridCol w:w="764"/>
        <w:gridCol w:w="128"/>
        <w:gridCol w:w="109"/>
        <w:gridCol w:w="109"/>
        <w:gridCol w:w="109"/>
        <w:gridCol w:w="241"/>
        <w:gridCol w:w="740"/>
        <w:gridCol w:w="124"/>
        <w:gridCol w:w="109"/>
        <w:gridCol w:w="109"/>
        <w:gridCol w:w="109"/>
        <w:gridCol w:w="257"/>
        <w:gridCol w:w="915"/>
        <w:gridCol w:w="132"/>
        <w:gridCol w:w="109"/>
        <w:gridCol w:w="109"/>
        <w:gridCol w:w="109"/>
        <w:gridCol w:w="295"/>
        <w:gridCol w:w="1103"/>
        <w:gridCol w:w="152"/>
        <w:gridCol w:w="109"/>
        <w:gridCol w:w="109"/>
        <w:gridCol w:w="109"/>
        <w:gridCol w:w="211"/>
        <w:gridCol w:w="404"/>
        <w:gridCol w:w="162"/>
      </w:tblGrid>
      <w:tr>
        <w:trPr/>
        <w:tc>
          <w:tcPr>
            <w:tcW w:w="13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AOCI</w:t>
            </w:r>
          </w:p>
        </w:tc>
      </w:tr>
      <w:tr>
        <w:trPr/>
        <w:tc>
          <w:tcPr>
            <w:tcW w:w="30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December 31, 2025</w:t>
            </w:r>
          </w:p>
        </w:tc>
        <w:tc>
          <w:tcPr>
            <w:tcW w:w="24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1,741 </w:t>
            </w:r>
          </w:p>
        </w:tc>
        <w:tc>
          <w:tcPr>
            <w:tcW w:w="12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4,511 </w:t>
            </w:r>
          </w:p>
        </w:tc>
        <w:tc>
          <w:tcPr>
            <w:tcW w:w="12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52,236 </w:t>
            </w:r>
          </w:p>
        </w:tc>
        <w:tc>
          <w:tcPr>
            <w:tcW w:w="13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(42,130)</w:t>
            </w:r>
          </w:p>
        </w:tc>
        <w:tc>
          <w:tcPr>
            <w:tcW w:w="15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w:t>
            </w:r>
          </w:p>
        </w:tc>
        <w:tc>
          <w:tcPr>
            <w:tcW w:w="16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11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and paid ($1.42 per share)</w:t>
            </w:r>
          </w:p>
        </w:tc>
        <w:tc>
          <w:tcPr>
            <w:tcW w:w="10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(1,291)</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issued for stock-based awards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repurchases</w:t>
            </w:r>
          </w:p>
        </w:tc>
        <w:tc>
          <w:tcPr>
            <w:tcW w:w="10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net of taxes</w:t>
            </w:r>
          </w:p>
        </w:tc>
        <w:tc>
          <w:tcPr>
            <w:tcW w:w="10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equivalents on RSUs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March 31, 2026</w:t>
            </w:r>
          </w:p>
        </w:tc>
        <w:tc>
          <w:tcPr>
            <w:tcW w:w="10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1,741 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4,722 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52,483 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(42,084)</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1,980</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Dividends declared and paid ($1.42 per share)</w:t>
            </w:r>
          </w:p>
        </w:tc>
        <w:tc>
          <w:tcPr>
            <w:tcW w:w="10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(1,295)</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Common stock issued for stock-based awards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279</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166</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 repurchases</w:t>
            </w:r>
          </w:p>
        </w:tc>
        <w:tc>
          <w:tcPr>
            <w:tcW w:w="10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 compensation</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127</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comprehensive income (loss), net of taxes</w:t>
            </w:r>
          </w:p>
        </w:tc>
        <w:tc>
          <w:tcPr>
            <w:tcW w:w="10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Dividend equivalents on RSUs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w:t>
            </w:r>
          </w:p>
        </w:tc>
        <w:tc>
          <w:tcPr>
            <w:tcW w:w="10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June 30, 2026</w:t>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1,741</w:t>
            </w:r>
            <w:r>
              <w:rPr>
                <w:color w:val="000000"/>
              </w:rPr>
              <w:t>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5,129</w:t>
            </w:r>
            <w:r>
              <w:rPr>
                <w:color w:val="000000"/>
              </w:rPr>
              <w:t>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53,161</w:t>
            </w:r>
            <w:r>
              <w:rPr>
                <w:color w:val="000000"/>
              </w:rPr>
              <w:t>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(41,941)</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(83)</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TEXAS INSTRUMENTS INCORPORATED AND SUBSIDIARIES</w:t>
      </w:r>
    </w:p>
    <w:tbl>
      <w:tblPr>
        <w:tblW w:w="10205" w:type="dxa"/>
        <w:jc w:val="left"/>
        <w:tblInd w:w="0" w:type="dxa"/>
        <w:tblLayout w:type="fixed"/>
        <w:tblCellMar>
          <w:top w:w="28" w:type="dxa"/>
          <w:left w:w="28" w:type="dxa"/>
          <w:bottom w:w="28" w:type="dxa"/>
          <w:right w:w="28" w:type="dxa"/>
        </w:tblCellMar>
      </w:tblPr>
      <w:tblGrid>
        <w:gridCol w:w="1224"/>
        <w:gridCol w:w="829"/>
        <w:gridCol w:w="832"/>
        <w:gridCol w:w="250"/>
        <w:gridCol w:w="768"/>
        <w:gridCol w:w="129"/>
        <w:gridCol w:w="109"/>
        <w:gridCol w:w="109"/>
        <w:gridCol w:w="109"/>
        <w:gridCol w:w="242"/>
        <w:gridCol w:w="743"/>
        <w:gridCol w:w="125"/>
        <w:gridCol w:w="109"/>
        <w:gridCol w:w="109"/>
        <w:gridCol w:w="109"/>
        <w:gridCol w:w="258"/>
        <w:gridCol w:w="920"/>
        <w:gridCol w:w="133"/>
        <w:gridCol w:w="109"/>
        <w:gridCol w:w="109"/>
        <w:gridCol w:w="109"/>
        <w:gridCol w:w="297"/>
        <w:gridCol w:w="1113"/>
        <w:gridCol w:w="153"/>
        <w:gridCol w:w="109"/>
        <w:gridCol w:w="109"/>
        <w:gridCol w:w="109"/>
        <w:gridCol w:w="211"/>
        <w:gridCol w:w="510"/>
        <w:gridCol w:w="160"/>
      </w:tblGrid>
      <w:tr>
        <w:trPr/>
        <w:tc>
          <w:tcPr>
            <w:tcW w:w="122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AOCI</w:t>
            </w:r>
          </w:p>
        </w:tc>
      </w:tr>
      <w:tr>
        <w:trPr/>
        <w:tc>
          <w:tcPr>
            <w:tcW w:w="2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December 31, 2024</w:t>
            </w:r>
          </w:p>
        </w:tc>
        <w:tc>
          <w:tcPr>
            <w:tcW w:w="25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1,741 </w:t>
            </w:r>
          </w:p>
        </w:tc>
        <w:tc>
          <w:tcPr>
            <w:tcW w:w="12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3,935 </w:t>
            </w:r>
          </w:p>
        </w:tc>
        <w:tc>
          <w:tcPr>
            <w:tcW w:w="12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52,262 </w:t>
            </w:r>
          </w:p>
        </w:tc>
        <w:tc>
          <w:tcPr>
            <w:tcW w:w="13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(40,895)</w:t>
            </w:r>
          </w:p>
        </w:tc>
        <w:tc>
          <w:tcPr>
            <w:tcW w:w="15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w:t>
            </w:r>
          </w:p>
        </w:tc>
        <w:tc>
          <w:tcPr>
            <w:tcW w:w="16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11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and paid ($1.36 per share)</w:t>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(1,238)</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issued for stock-based awards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repurchases</w:t>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net of taxes</w:t>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equivalents on RSUs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March 31, 2025</w:t>
            </w:r>
          </w:p>
        </w:tc>
        <w:tc>
          <w:tcPr>
            <w:tcW w:w="10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1,741 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4,058 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52,196 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(41,442)</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and paid ($1.36 per share)</w:t>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(1,235)</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issued for stock-based awards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repurchases</w:t>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net of taxes</w:t>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equivalents on RSUs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June 30, 2025</w:t>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1,741 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4,245 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52,249 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(41,676)</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val="false"/>
          <w:color w:val="000000"/>
          <w:sz w:val="20"/>
        </w:rPr>
        <w:t xml:space="preserve">8. </w:t>
      </w:r>
      <w:r>
        <w:rPr>
          <w:rFonts w:ascii="Arial;sans-serif" w:hAnsi="Arial;sans-serif"/>
          <w:b w:val="false"/>
          <w:color w:val="000000"/>
          <w:sz w:val="20"/>
          <w:u w:val="single"/>
        </w:rPr>
        <w:t>Contingencies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Indemnification guarantees</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Warranty costs/product liabilities</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 xml:space="preserve">Our stated warranties for semiconductor products obligate us to repair, replace or credit the purchase price of a covered product back to the buyer. Product claim consideration may exceed the price of our products. Historically, we have experienced a low rate of payments on product claims. Although we cannot predict the likelihood or amount of any future claims, we do not believe they will have a material adverse effect on our consolidated financial statements. We accrue for known product-related claims if a loss is probable and can be reasonably estimated. During the periods presented, there have been no material accruals or payments regarding product warranty or product liability. </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General</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are subject to various legal and administrative proceedings. Although it is not possible to predict the outcome of these matters, we believe that the results of these proceedings will not have a material adverse effect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TEXAS INSTRUMENTS INCORPORATED AND SUBSIDIARIES </w:t>
      </w:r>
    </w:p>
    <w:p>
      <w:pPr>
        <w:pStyle w:val="TextBody"/>
        <w:bidi w:val="0"/>
        <w:spacing w:lineRule="auto" w:line="288" w:before="240" w:after="283"/>
        <w:jc w:val="left"/>
        <w:rPr/>
      </w:pPr>
      <w:r>
        <w:rPr>
          <w:rFonts w:ascii="Arial;sans-serif" w:hAnsi="Arial;sans-serif"/>
          <w:b w:val="false"/>
          <w:color w:val="000000"/>
          <w:sz w:val="20"/>
        </w:rPr>
        <w:t xml:space="preserve">9. </w:t>
      </w:r>
      <w:r>
        <w:rPr>
          <w:rFonts w:ascii="Arial;sans-serif" w:hAnsi="Arial;sans-serif"/>
          <w:b w:val="false"/>
          <w:color w:val="000000"/>
          <w:sz w:val="20"/>
          <w:u w:val="single"/>
        </w:rPr>
        <w:t>Supplemental financial information</w:t>
      </w:r>
    </w:p>
    <w:p>
      <w:pPr>
        <w:pStyle w:val="TextBody"/>
        <w:bidi w:val="0"/>
        <w:spacing w:lineRule="auto" w:line="288" w:before="240" w:after="240"/>
        <w:jc w:val="left"/>
        <w:rPr>
          <w:rFonts w:ascii="Arial;sans-serif" w:hAnsi="Arial;sans-serif"/>
          <w:b w:val="false"/>
          <w:i/>
          <w:color w:val="000000"/>
          <w:sz w:val="20"/>
        </w:rPr>
      </w:pPr>
      <w:r>
        <w:rPr>
          <w:rFonts w:ascii="Arial;sans-serif" w:hAnsi="Arial;sans-serif"/>
          <w:b w:val="false"/>
          <w:i/>
          <w:color w:val="000000"/>
          <w:sz w:val="20"/>
        </w:rPr>
        <w:t>Acquisition of Silicon Labs</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As announced on February 4, 2026, we have entered into a definitive agreement to acquire Silicon Labs for $231.00 per share in an all-cash transaction, representing a total enterprise value of approximately $7.5 billion. Under the terms of the agreement, Silicon Labs stockholders will receive $231.00 in cash for each share of Silicon Labs common stock they hold at the time of closing, which is expected in the first half of 2027, subject to receipt of regulatory approvals and other customary closing conditions. We expect to fund the transaction with a combination of cash on hand and debt financing. During the second quarter and first six months of 2026, we incurred $17 million and $34 million of acquisition charges, respectively.</w:t>
      </w:r>
    </w:p>
    <w:tbl>
      <w:tblPr>
        <w:tblW w:w="6361" w:type="dxa"/>
        <w:jc w:val="left"/>
        <w:tblInd w:w="0" w:type="dxa"/>
        <w:tblLayout w:type="fixed"/>
        <w:tblCellMar>
          <w:top w:w="28" w:type="dxa"/>
          <w:left w:w="28" w:type="dxa"/>
          <w:bottom w:w="28" w:type="dxa"/>
          <w:right w:w="28" w:type="dxa"/>
        </w:tblCellMar>
      </w:tblPr>
      <w:tblGrid>
        <w:gridCol w:w="1396"/>
        <w:gridCol w:w="1227"/>
        <w:gridCol w:w="1231"/>
        <w:gridCol w:w="211"/>
        <w:gridCol w:w="646"/>
        <w:gridCol w:w="109"/>
        <w:gridCol w:w="109"/>
        <w:gridCol w:w="109"/>
        <w:gridCol w:w="109"/>
        <w:gridCol w:w="253"/>
        <w:gridCol w:w="776"/>
        <w:gridCol w:w="185"/>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240" w:after="240"/>
              <w:jc w:val="left"/>
              <w:rPr>
                <w:rFonts w:ascii="Arial;sans-serif" w:hAnsi="Arial;sans-serif"/>
                <w:b w:val="false"/>
                <w:i/>
                <w:color w:val="000000"/>
                <w:sz w:val="20"/>
              </w:rPr>
            </w:pPr>
            <w:r>
              <w:rPr>
                <w:rFonts w:ascii="Arial;sans-serif" w:hAnsi="Arial;sans-serif"/>
                <w:b w:val="false"/>
                <w:i/>
                <w:color w:val="000000"/>
                <w:sz w:val="20"/>
              </w:rPr>
              <w:t>Prepaid expenses and other current assets</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8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CHIPS Act incentives</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1,005</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1,709 </w:t>
            </w:r>
          </w:p>
        </w:tc>
        <w:tc>
          <w:tcPr>
            <w:tcW w:w="18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1,631</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2,102 </w:t>
            </w:r>
          </w:p>
        </w:tc>
        <w:tc>
          <w:tcPr>
            <w:tcW w:w="18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621" w:type="dxa"/>
        <w:jc w:val="left"/>
        <w:tblInd w:w="0" w:type="dxa"/>
        <w:tblLayout w:type="fixed"/>
        <w:tblCellMar>
          <w:top w:w="28" w:type="dxa"/>
          <w:left w:w="28" w:type="dxa"/>
          <w:bottom w:w="28" w:type="dxa"/>
          <w:right w:w="28" w:type="dxa"/>
        </w:tblCellMar>
      </w:tblPr>
      <w:tblGrid>
        <w:gridCol w:w="765"/>
        <w:gridCol w:w="672"/>
        <w:gridCol w:w="677"/>
        <w:gridCol w:w="211"/>
        <w:gridCol w:w="646"/>
        <w:gridCol w:w="109"/>
        <w:gridCol w:w="109"/>
        <w:gridCol w:w="109"/>
        <w:gridCol w:w="109"/>
        <w:gridCol w:w="253"/>
        <w:gridCol w:w="776"/>
        <w:gridCol w:w="185"/>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Other long-term assets</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1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CHIPS Act incentives</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1,158</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1,639 </w:t>
            </w:r>
          </w:p>
        </w:tc>
        <w:tc>
          <w:tcPr>
            <w:tcW w:w="18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2,237</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2,656 </w:t>
            </w:r>
          </w:p>
        </w:tc>
        <w:tc>
          <w:tcPr>
            <w:tcW w:w="18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Details on amounts reclassified out of accumulated other comprehensive income (loss), net of taxes, to net income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Consolidated Statements of Comprehensive Income include items that have been recognized within net income during the second quarters of 2026 and 2025. The table below details where these transactions are recorded in our Consolidated Statements of Income.</w:t>
      </w:r>
    </w:p>
    <w:tbl>
      <w:tblPr>
        <w:tblW w:w="10205" w:type="dxa"/>
        <w:jc w:val="left"/>
        <w:tblInd w:w="0" w:type="dxa"/>
        <w:tblLayout w:type="fixed"/>
        <w:tblCellMar>
          <w:top w:w="28" w:type="dxa"/>
          <w:left w:w="28" w:type="dxa"/>
          <w:bottom w:w="28" w:type="dxa"/>
          <w:right w:w="28" w:type="dxa"/>
        </w:tblCellMar>
      </w:tblPr>
      <w:tblGrid>
        <w:gridCol w:w="1255"/>
        <w:gridCol w:w="940"/>
        <w:gridCol w:w="946"/>
        <w:gridCol w:w="227"/>
        <w:gridCol w:w="438"/>
        <w:gridCol w:w="117"/>
        <w:gridCol w:w="117"/>
        <w:gridCol w:w="117"/>
        <w:gridCol w:w="117"/>
        <w:gridCol w:w="227"/>
        <w:gridCol w:w="438"/>
        <w:gridCol w:w="117"/>
        <w:gridCol w:w="109"/>
        <w:gridCol w:w="109"/>
        <w:gridCol w:w="109"/>
        <w:gridCol w:w="224"/>
        <w:gridCol w:w="288"/>
        <w:gridCol w:w="115"/>
        <w:gridCol w:w="115"/>
        <w:gridCol w:w="115"/>
        <w:gridCol w:w="115"/>
        <w:gridCol w:w="224"/>
        <w:gridCol w:w="431"/>
        <w:gridCol w:w="115"/>
        <w:gridCol w:w="109"/>
        <w:gridCol w:w="109"/>
        <w:gridCol w:w="109"/>
        <w:gridCol w:w="851"/>
        <w:gridCol w:w="782"/>
        <w:gridCol w:w="1120"/>
      </w:tblGrid>
      <w:tr>
        <w:trPr/>
        <w:tc>
          <w:tcPr>
            <w:tcW w:w="125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Impact to Related Statement of Income Lines</w:t>
            </w:r>
          </w:p>
        </w:tc>
      </w:tr>
      <w:tr>
        <w:trPr/>
        <w:tc>
          <w:tcPr>
            <w:tcW w:w="3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actuarial losses of defined benefit plans:</w:t>
            </w:r>
          </w:p>
        </w:tc>
        <w:tc>
          <w:tcPr>
            <w:tcW w:w="782"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Recognized net actuarial losses and settlement losses (a)</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to OI&amp;E</w:t>
            </w:r>
          </w:p>
        </w:tc>
      </w:tr>
      <w:tr>
        <w:trPr/>
        <w:tc>
          <w:tcPr>
            <w:tcW w:w="3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effect</w:t>
            </w:r>
          </w:p>
        </w:tc>
        <w:tc>
          <w:tcPr>
            <w:tcW w:w="6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to provision for income taxes</w:t>
            </w:r>
          </w:p>
        </w:tc>
      </w:tr>
      <w:tr>
        <w:trPr/>
        <w:tc>
          <w:tcPr>
            <w:tcW w:w="3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Recognized within net income, net of taxes</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to net income</w:t>
            </w:r>
          </w:p>
        </w:tc>
      </w:tr>
      <w:tr>
        <w:trPr/>
        <w:tc>
          <w:tcPr>
            <w:tcW w:w="31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Prior service cost (credit) of defined benefit plans:</w:t>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prior service cost (credit) (a)</w:t>
            </w:r>
          </w:p>
        </w:tc>
        <w:tc>
          <w:tcPr>
            <w:tcW w:w="22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8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to OI&amp;E</w:t>
            </w:r>
          </w:p>
        </w:tc>
      </w:tr>
      <w:tr>
        <w:trPr/>
        <w:tc>
          <w:tcPr>
            <w:tcW w:w="3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effect</w:t>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to provision for income taxes</w:t>
            </w:r>
          </w:p>
        </w:tc>
      </w:tr>
      <w:tr>
        <w:trPr/>
        <w:tc>
          <w:tcPr>
            <w:tcW w:w="3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Recognized within net income, net of taxes</w:t>
            </w:r>
          </w:p>
        </w:tc>
        <w:tc>
          <w:tcPr>
            <w:tcW w:w="22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8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1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to net income</w:t>
            </w:r>
          </w:p>
        </w:tc>
      </w:tr>
    </w:tbl>
    <w:p>
      <w:pPr>
        <w:pStyle w:val="TextBody"/>
        <w:bidi w:val="0"/>
        <w:spacing w:lineRule="auto" w:line="288" w:before="240" w:after="240"/>
        <w:ind w:left="0" w:right="0" w:hanging="360"/>
        <w:jc w:val="left"/>
        <w:rPr>
          <w:rFonts w:ascii="Arial;sans-serif" w:hAnsi="Arial;sans-serif"/>
          <w:b w:val="false"/>
          <w:color w:val="000000"/>
          <w:sz w:val="20"/>
        </w:rPr>
      </w:pPr>
      <w:r>
        <w:rPr>
          <w:rFonts w:ascii="Arial;sans-serif" w:hAnsi="Arial;sans-serif"/>
          <w:b w:val="false"/>
          <w:color w:val="000000"/>
          <w:sz w:val="20"/>
        </w:rPr>
        <w:t>(a)Detailed in Note 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TEXAS INSTRUMENTS INCORPORATED AND SUBSIDIARIES </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Effect on shares outstanding and treasury shares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table reflects the changes in treasury shares:</w:t>
      </w:r>
    </w:p>
    <w:tbl>
      <w:tblPr>
        <w:tblW w:w="4383" w:type="dxa"/>
        <w:jc w:val="left"/>
        <w:tblInd w:w="0" w:type="dxa"/>
        <w:tblLayout w:type="fixed"/>
        <w:tblCellMar>
          <w:top w:w="28" w:type="dxa"/>
          <w:left w:w="28" w:type="dxa"/>
          <w:bottom w:w="28" w:type="dxa"/>
          <w:right w:w="28" w:type="dxa"/>
        </w:tblCellMar>
      </w:tblPr>
      <w:tblGrid>
        <w:gridCol w:w="1336"/>
        <w:gridCol w:w="1174"/>
        <w:gridCol w:w="1179"/>
        <w:gridCol w:w="240"/>
        <w:gridCol w:w="241"/>
        <w:gridCol w:w="213"/>
      </w:tblGrid>
      <w:tr>
        <w:trPr/>
        <w:tc>
          <w:tcPr>
            <w:tcW w:w="133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2026</w:t>
            </w:r>
          </w:p>
        </w:tc>
      </w:tr>
      <w:tr>
        <w:trPr/>
        <w:tc>
          <w:tcPr>
            <w:tcW w:w="3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January 1</w:t>
            </w:r>
          </w:p>
        </w:tc>
        <w:tc>
          <w:tcPr>
            <w:tcW w:w="48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834 </w:t>
            </w:r>
          </w:p>
        </w:tc>
        <w:tc>
          <w:tcPr>
            <w:tcW w:w="21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issued for stock compensation</w:t>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March 31</w:t>
            </w:r>
          </w:p>
        </w:tc>
        <w:tc>
          <w:tcPr>
            <w:tcW w:w="69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w:t>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Repurchases</w:t>
            </w:r>
          </w:p>
        </w:tc>
        <w:tc>
          <w:tcPr>
            <w:tcW w:w="48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Shares issued for stock compensation</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June 30</w:t>
            </w:r>
          </w:p>
        </w:tc>
        <w:tc>
          <w:tcPr>
            <w:tcW w:w="481"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828</w:t>
            </w:r>
            <w:r>
              <w:rPr>
                <w:color w:val="000000"/>
              </w:rPr>
              <w:t> </w:t>
            </w:r>
          </w:p>
        </w:tc>
        <w:tc>
          <w:tcPr>
            <w:tcW w:w="21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design and manufacture semiconductors that we sell to electronics designers and manufacturers all over the world. Technology is the foundation of our company, but ultimately, our objective and the best metric for owners to measure our progress is through the growth of free cash flow per share over the long term.</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strategy to maximize long-term free cash flow per share growth has three elements:</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1.A great business model that is focused on analog and embedded processing products and built around four sustainable competitive advantages. The four sustainable competitive advantages are powerful in combination and provide tangible benefits: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(a)A strong foundation of manufacturing and technology that provides lower costs and greater control of our supply chain.</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(b)A broad portfolio of analog and embedded processing products that offers more opportunity per customer and more value for our investments.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(c)The reach of our market channels that gives access to more customers and more of their design projects, leading to better insight and knowledge of customer needs and the opportunity to sell more of our products into each design.</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 xml:space="preserve">(d)Diversity and longevity of our products, markets and customer positions that provide less single point dependency and longer returns on our investments.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Together, these competitive advantages help position TI in a unique class of companies capable of generating and returning significant amounts of cash for our owners. We make our investments with an eye towards long-term strengthening and leveraging of these advantages.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2.Discipline in allocating capital to the best opportunities. This spans how we select R&amp;D projects, develop new capabilities, invest in manufacturing capacity or how we think about acquisitions and returning cash to our owners.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3.Efficiency, which means constantly striving for more output for every dollar spent.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believe that our business model with the combined effect of our four competitive advantages sets TI apart from our peers and will for a long time to come. We will invest to strengthen our competitive advantages, be disciplined in capital allocation and stay diligent in our pursuit of efficiencies. Finally, we will remain focused on the belief that long-term growth of free cash flow per share is the ultimate measure to generate value.</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Market and business characteristics</w:t>
      </w:r>
    </w:p>
    <w:p>
      <w:pPr>
        <w:pStyle w:val="TextBody"/>
        <w:bidi w:val="0"/>
        <w:spacing w:lineRule="auto" w:line="288" w:before="240" w:after="240"/>
        <w:jc w:val="left"/>
        <w:rPr>
          <w:rFonts w:ascii="Arial;sans-serif" w:hAnsi="Arial;sans-serif"/>
          <w:b w:val="false"/>
          <w:color w:val="000000"/>
          <w:sz w:val="20"/>
          <w:u w:val="single"/>
        </w:rPr>
      </w:pPr>
      <w:r>
        <w:rPr>
          <w:rFonts w:ascii="Arial;sans-serif" w:hAnsi="Arial;sans-serif"/>
          <w:b w:val="false"/>
          <w:color w:val="000000"/>
          <w:sz w:val="20"/>
          <w:u w:val="single"/>
        </w:rPr>
        <w:t>Markets for our products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markets for our products are industrial, automotive, data center, personal electronics and communications equipment. See our 2025 Form 10-K for more information.</w:t>
      </w:r>
    </w:p>
    <w:p>
      <w:pPr>
        <w:pStyle w:val="TextBody"/>
        <w:bidi w:val="0"/>
        <w:spacing w:lineRule="auto" w:line="288" w:before="240" w:after="240"/>
        <w:jc w:val="left"/>
        <w:rPr>
          <w:rFonts w:ascii="Arial;sans-serif" w:hAnsi="Arial;sans-serif"/>
          <w:b w:val="false"/>
          <w:color w:val="000000"/>
          <w:sz w:val="20"/>
          <w:u w:val="single"/>
        </w:rPr>
      </w:pPr>
      <w:r>
        <w:rPr>
          <w:rFonts w:ascii="Arial;sans-serif" w:hAnsi="Arial;sans-serif"/>
          <w:b w:val="false"/>
          <w:color w:val="000000"/>
          <w:sz w:val="20"/>
          <w:u w:val="single"/>
        </w:rPr>
        <w:t>Semiconductor cycle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semiconductor cycle refers to the ebb and flow of supply and demand and the building and depleting of inventories. It has been characterized by periods of tight supply caused by strengthening demand and/or insufficient manufacturing capacity, followed by periods of surplus inventory caused by weakening demand and/or excess manufacturing capacity. These are typically referred to as upturns and downturns in the semiconductor cycle. Semiconductor cycles are affected by the significant time and money required to build and maintain semiconductor manufacturing facilities.</w:t>
      </w:r>
    </w:p>
    <w:p>
      <w:pPr>
        <w:pStyle w:val="TextBody"/>
        <w:bidi w:val="0"/>
        <w:spacing w:lineRule="auto" w:line="288" w:before="240" w:after="240"/>
        <w:jc w:val="left"/>
        <w:rPr>
          <w:rFonts w:ascii="Arial;sans-serif" w:hAnsi="Arial;sans-serif"/>
          <w:b w:val="false"/>
          <w:color w:val="000000"/>
          <w:sz w:val="20"/>
          <w:u w:val="single"/>
        </w:rPr>
      </w:pPr>
      <w:r>
        <w:rPr>
          <w:rFonts w:ascii="Arial;sans-serif" w:hAnsi="Arial;sans-serif"/>
          <w:b w:val="false"/>
          <w:color w:val="000000"/>
          <w:sz w:val="20"/>
          <w:u w:val="single"/>
        </w:rPr>
        <w:t>Seasonality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revenue is subject to some seasonal variation. Historically, our sequential revenue growth rate tends to be weaker in the first and fourth quarters when compared with the second and third quarters.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Arial;sans-serif" w:hAnsi="Arial;sans-serif"/>
          <w:b w:val="false"/>
          <w:color w:val="000000"/>
          <w:sz w:val="20"/>
          <w:u w:val="single"/>
        </w:rPr>
      </w:pPr>
      <w:r>
        <w:rPr>
          <w:rFonts w:ascii="Arial;sans-serif" w:hAnsi="Arial;sans-serif"/>
          <w:b w:val="false"/>
          <w:color w:val="000000"/>
          <w:sz w:val="20"/>
          <w:u w:val="single"/>
        </w:rPr>
        <w:t>Manufacturing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invest to make manufacturing and technology a core competitive advantage. The strategic decision to own our manufacturing, process and packaging technology provides us with tangible benefits of lower manufacturing costs and greater control of our supply chain and provides our customers with geopolitically dependable capacity. We own and operate both wafer fabrication and assembly/test facilities in North America, Asia, Japan and Europe. We have focused on creating a competitive structural cost advantage by investing in our 300mm wafer production, which describes the diameter of the wafer on which our chips are produced, and costs about 40% less than a chip built on a 200mm wafer. In addition, we selectively use capacity of outside suppliers, commonly known as foundries and subcontractors.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continue to invest to strengthen our competitive advantage in manufacturing and technology as part of our long-term capacity plan. We have invested in manufacturing capacity to support customer demand, enable external foundry transfers and prepare new factories to have cleanroom space available to support future growth. These investments have uniquely positioned TI to deliver dependable, low-cost 300mm capacity with the ability to equip and ramp factories to support customer demand. We believe this approach supports free cash flow per share growth across a range of market conditions.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With our planned capacity expansions to support demand over time, we expect our internal sourcing to continue to increase. We expect to continue to maintain sufficient internal manufacturing capacity to meet the majority of our production needs and to obtain manufacturing equipment to support new technology developments and revenue growth.</w:t>
      </w:r>
    </w:p>
    <w:p>
      <w:pPr>
        <w:pStyle w:val="TextBody"/>
        <w:bidi w:val="0"/>
        <w:spacing w:lineRule="auto" w:line="288" w:before="240" w:after="240"/>
        <w:jc w:val="left"/>
        <w:rPr>
          <w:rFonts w:ascii="Arial;sans-serif" w:hAnsi="Arial;sans-serif"/>
          <w:b w:val="false"/>
          <w:color w:val="000000"/>
          <w:sz w:val="20"/>
          <w:u w:val="single"/>
        </w:rPr>
      </w:pPr>
      <w:r>
        <w:rPr>
          <w:rFonts w:ascii="Arial;sans-serif" w:hAnsi="Arial;sans-serif"/>
          <w:b w:val="false"/>
          <w:color w:val="000000"/>
          <w:sz w:val="20"/>
          <w:u w:val="single"/>
        </w:rPr>
        <w:t>Inventory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objectives for inventory are to maintain high levels of customer service, maintain dependable and competitive lead times, minimize inventory obsolescence and improve manufacturing asset utilization. To meet these objectives and to allow greater flexibility in periods of high demand, our strategy is to build ahead of demand our broad-based products that are used across a diverse set of applications and customers and have low risk of obsolescence. Inventory levels will vary based on market conditions and seasonality. We adjust factory loadings as needed to execute on this inventory strategy.</w:t>
      </w: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When we discuss our results: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Unless otherwise noted, changes in our revenue are attributable to changes in customer demand, which are evidenced by fluctuations in shipment volumes. Upturns in the semiconductor cycle are often characterized by rising customer demand, which drives higher revenue, while downturns in the semiconductor cycle are characterized by weakening customer demand, which results in lower revenue.</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New products do not tend to have a significant impact on our revenue in any given period because we sell such a large number of products.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From time to time, our revenue and gross profit are affected by changes in demand for higher-priced or lower-priced products, which we refer to as changes in the “mix” of products shipped.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Our LFAB facility, which primarily supports our Embedded Processing business, was purchased as an operating fab and is continuing to ramp production, so we expect factory loadings to increase over time. As LFAB ramps, we expect Embedded to carry manufacturing costs that disproportionately benefit Embedded Processing operating profit as compared to Analog.</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For an explanation of free cash flow, see the Non-GAAP financial information section.</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All dollar amounts in the tables are stated in millions of U.S.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val="false"/>
          <w:color w:val="000000"/>
          <w:sz w:val="20"/>
          <w:u w:val="single"/>
        </w:rPr>
      </w:pPr>
      <w:r>
        <w:rPr>
          <w:rFonts w:ascii="Arial;sans-serif" w:hAnsi="Arial;sans-serif"/>
          <w:b w:val="false"/>
          <w:color w:val="000000"/>
          <w:sz w:val="20"/>
          <w:u w:val="single"/>
        </w:rPr>
        <w:t>Performance summary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second quarter revenue was $5.46 billion, net income was $1.98 billion and earnings per share (EPS) were $2.14.</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Revenue increased 13% sequentially and 23% from the same quarter a year ago with broad growth led by industrial, data center and automotive.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cash flow from operations of $8.7 billion for the trailing 12 months again underscored the strength of our business model, the quality of our product portfolio and the benefit of 300mm production. Free cash flow for the same period was $6.5 billion.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Over the past 12 months we invested $3.9 billion in R&amp;D and SG&amp;A, invested $3.3 billion in capital expenditures and returned $5.8 billion to shareholders.</w:t>
      </w:r>
    </w:p>
    <w:p>
      <w:pPr>
        <w:pStyle w:val="TextBody"/>
        <w:bidi w:val="0"/>
        <w:spacing w:lineRule="auto" w:line="288" w:before="240" w:after="240"/>
        <w:jc w:val="left"/>
        <w:rPr>
          <w:rFonts w:ascii="Arial;sans-serif" w:hAnsi="Arial;sans-serif"/>
          <w:b w:val="false"/>
          <w:color w:val="000000"/>
          <w:sz w:val="20"/>
          <w:u w:val="single"/>
        </w:rPr>
      </w:pPr>
      <w:r>
        <w:rPr>
          <w:rFonts w:ascii="Arial;sans-serif" w:hAnsi="Arial;sans-serif"/>
          <w:b w:val="false"/>
          <w:color w:val="000000"/>
          <w:sz w:val="20"/>
          <w:u w:val="single"/>
        </w:rPr>
        <w:t>Acquisition of Silicon Labs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As announced on February 4, 2026, we have entered into a definitive agreement to acquire Silicon Labs for $231.00 per share in an all-cash transaction, representing a total enterprise value of approximately $7.5 billion. Under the terms of the agreement, Silicon Labs stockholders will receive $231.00 in cash for each share of Silicon Labs common stock they hold at the time of closing, which is expected in the first half of 2027, subject to receipt of regulatory approvals and other customary closing conditions. We expect to fund the transaction with a combination of cash on hand and debt financing.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June 2026, we entered into a 364-day delayed draw term loan credit facility for borrowings up to $5 billion to support the Silicon Labs acquisition consideration and related transaction expenses. As of June 30, 2026, there were no outstanding borrowings on the delayed draw term loan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val="false"/>
          <w:color w:val="000000"/>
          <w:sz w:val="20"/>
          <w:u w:val="single"/>
        </w:rPr>
      </w:pPr>
      <w:r>
        <w:rPr>
          <w:rFonts w:ascii="Arial;sans-serif" w:hAnsi="Arial;sans-serif"/>
          <w:b w:val="false"/>
          <w:color w:val="000000"/>
          <w:sz w:val="20"/>
          <w:u w:val="single"/>
        </w:rPr>
        <w:t>Details of financial results – second quarter 2026 compared with second quarter 2025</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Revenue of $5.46 billion increased $1.02 billion, or 23%, due to increased demand in our Analog segment and, to a lesser extent, in our Embedded Processing segment.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Gross profit of $3.35 billion was up $777 million, or 30%, primarily due to higher revenue, partially offset by higher manufacturing costs associated with our planned capacity expansions. As a percentage of revenue, gross profit increased to 61.4% from 57.9%.</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Operating expenses (R&amp;D and SG&amp;A) were $1.03 billion compared with $1.01 billion.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Acquisition charges were $17 million due to transaction-related costs associated with our planned acquisition of Silicon Labs.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Operating profit was $2.31 billion, or 42.3% of revenue, compared with $1.56 billion, or 35.1% of revenue. This change was primarily due to higher revenue and associated gross profit.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OI&amp;E was $69 million of income compared with $48 million of income. This increase was primarily due to higher interest income.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Interest and debt expense of $141 million increased $8 million. See Note 6 to the financial statements.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provision for income taxes was $258 million compared with $183 million. This increase was primarily due to higher income before income taxes, partially offset by higher discrete tax benefits of $35 million, related to stock-based compensation. Our effective tax rate, which includes discrete tax items, was 12% in both periods.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Net income was $1.98 billion compared with $1.30 billion. EPS was $2.14 compared with $1.41.</w:t>
      </w:r>
    </w:p>
    <w:p>
      <w:pPr>
        <w:pStyle w:val="TextBody"/>
        <w:bidi w:val="0"/>
        <w:spacing w:lineRule="auto" w:line="288" w:before="240" w:after="283"/>
        <w:jc w:val="left"/>
        <w:rPr>
          <w:rFonts w:ascii="Arial;sans-serif" w:hAnsi="Arial;sans-serif"/>
          <w:b w:val="false"/>
          <w:color w:val="000000"/>
          <w:sz w:val="20"/>
          <w:u w:val="single"/>
        </w:rPr>
      </w:pPr>
      <w:r>
        <w:rPr>
          <w:rFonts w:ascii="Arial;sans-serif" w:hAnsi="Arial;sans-serif"/>
          <w:b w:val="false"/>
          <w:color w:val="000000"/>
          <w:sz w:val="20"/>
          <w:u w:val="single"/>
        </w:rPr>
        <w:t>Second quarter 2026 segment results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segment results compared with the year-ago quarter are as follows: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Analog (includes Power and Signal Chain product lines)</w:t>
      </w:r>
    </w:p>
    <w:tbl>
      <w:tblPr>
        <w:tblW w:w="6448" w:type="dxa"/>
        <w:jc w:val="left"/>
        <w:tblInd w:w="0" w:type="dxa"/>
        <w:tblLayout w:type="fixed"/>
        <w:tblCellMar>
          <w:top w:w="28" w:type="dxa"/>
          <w:left w:w="28" w:type="dxa"/>
          <w:bottom w:w="28" w:type="dxa"/>
          <w:right w:w="28" w:type="dxa"/>
        </w:tblCellMar>
      </w:tblPr>
      <w:tblGrid>
        <w:gridCol w:w="967"/>
        <w:gridCol w:w="848"/>
        <w:gridCol w:w="855"/>
        <w:gridCol w:w="211"/>
        <w:gridCol w:w="646"/>
        <w:gridCol w:w="286"/>
        <w:gridCol w:w="109"/>
        <w:gridCol w:w="109"/>
        <w:gridCol w:w="109"/>
        <w:gridCol w:w="211"/>
        <w:gridCol w:w="646"/>
        <w:gridCol w:w="286"/>
        <w:gridCol w:w="109"/>
        <w:gridCol w:w="109"/>
        <w:gridCol w:w="109"/>
        <w:gridCol w:w="188"/>
        <w:gridCol w:w="188"/>
        <w:gridCol w:w="462"/>
      </w:tblGrid>
      <w:tr>
        <w:trPr/>
        <w:tc>
          <w:tcPr>
            <w:tcW w:w="96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4,365</w:t>
            </w:r>
            <w:r>
              <w:rPr>
                <w:color w:val="000000"/>
              </w:rPr>
              <w:t>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3,452 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46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1,992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 % of revenue</w:t>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45.6</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Analog revenue increased in both product lines, led by Signal Chain, due to higher demand. Operating profit increased due to higher revenue and associated gross profit.</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Embedded Processing (includes microcontrollers and processors)</w:t>
      </w:r>
    </w:p>
    <w:tbl>
      <w:tblPr>
        <w:tblW w:w="6118" w:type="dxa"/>
        <w:jc w:val="left"/>
        <w:tblInd w:w="0" w:type="dxa"/>
        <w:tblLayout w:type="fixed"/>
        <w:tblCellMar>
          <w:top w:w="28" w:type="dxa"/>
          <w:left w:w="28" w:type="dxa"/>
          <w:bottom w:w="28" w:type="dxa"/>
          <w:right w:w="28" w:type="dxa"/>
        </w:tblCellMar>
      </w:tblPr>
      <w:tblGrid>
        <w:gridCol w:w="967"/>
        <w:gridCol w:w="848"/>
        <w:gridCol w:w="855"/>
        <w:gridCol w:w="211"/>
        <w:gridCol w:w="481"/>
        <w:gridCol w:w="286"/>
        <w:gridCol w:w="109"/>
        <w:gridCol w:w="109"/>
        <w:gridCol w:w="109"/>
        <w:gridCol w:w="211"/>
        <w:gridCol w:w="481"/>
        <w:gridCol w:w="286"/>
        <w:gridCol w:w="109"/>
        <w:gridCol w:w="109"/>
        <w:gridCol w:w="109"/>
        <w:gridCol w:w="188"/>
        <w:gridCol w:w="188"/>
        <w:gridCol w:w="462"/>
      </w:tblGrid>
      <w:tr>
        <w:trPr/>
        <w:tc>
          <w:tcPr>
            <w:tcW w:w="96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788</w:t>
            </w:r>
            <w:r>
              <w:rPr>
                <w:color w:val="000000"/>
              </w:rPr>
              <w:t>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46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 % of revenue</w:t>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21.3</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Embedded Processing revenue increased due to higher demand. Operating profit increased primarily due to higher revenue and associated gross profit.</w:t>
      </w:r>
    </w:p>
    <w:p>
      <w:pPr>
        <w:pStyle w:val="TextBody"/>
        <w:bidi w:val="0"/>
        <w:spacing w:lineRule="auto" w:line="288" w:before="240" w:after="283"/>
        <w:jc w:val="left"/>
        <w:rPr/>
      </w:pPr>
      <w:r>
        <w:rPr>
          <w:rFonts w:ascii="Arial;sans-serif" w:hAnsi="Arial;sans-serif"/>
          <w:b w:val="false"/>
          <w:i/>
          <w:color w:val="000000"/>
          <w:sz w:val="20"/>
        </w:rPr>
        <w:t>Other (includes DLP</w:t>
      </w:r>
      <w:r>
        <w:rPr>
          <w:rFonts w:ascii="Arial;sans-serif" w:hAnsi="Arial;sans-serif"/>
          <w:b w:val="false"/>
          <w:i/>
          <w:color w:val="000000"/>
          <w:sz w:val="13"/>
        </w:rPr>
        <w:t>®</w:t>
      </w:r>
      <w:r>
        <w:rPr>
          <w:color w:val="000000"/>
        </w:rPr>
        <w:t xml:space="preserve"> </w:t>
      </w:r>
      <w:r>
        <w:rPr>
          <w:rFonts w:ascii="Arial;sans-serif" w:hAnsi="Arial;sans-serif"/>
          <w:b w:val="false"/>
          <w:i/>
          <w:color w:val="000000"/>
          <w:sz w:val="20"/>
        </w:rPr>
        <w:t>products and calculators)</w:t>
      </w:r>
    </w:p>
    <w:tbl>
      <w:tblPr>
        <w:tblW w:w="6072" w:type="dxa"/>
        <w:jc w:val="left"/>
        <w:tblInd w:w="0" w:type="dxa"/>
        <w:tblLayout w:type="fixed"/>
        <w:tblCellMar>
          <w:top w:w="28" w:type="dxa"/>
          <w:left w:w="28" w:type="dxa"/>
          <w:bottom w:w="28" w:type="dxa"/>
          <w:right w:w="28" w:type="dxa"/>
        </w:tblCellMar>
      </w:tblPr>
      <w:tblGrid>
        <w:gridCol w:w="968"/>
        <w:gridCol w:w="847"/>
        <w:gridCol w:w="855"/>
        <w:gridCol w:w="211"/>
        <w:gridCol w:w="481"/>
        <w:gridCol w:w="286"/>
        <w:gridCol w:w="109"/>
        <w:gridCol w:w="109"/>
        <w:gridCol w:w="109"/>
        <w:gridCol w:w="211"/>
        <w:gridCol w:w="481"/>
        <w:gridCol w:w="286"/>
        <w:gridCol w:w="109"/>
        <w:gridCol w:w="109"/>
        <w:gridCol w:w="109"/>
        <w:gridCol w:w="165"/>
        <w:gridCol w:w="165"/>
        <w:gridCol w:w="462"/>
      </w:tblGrid>
      <w:tr>
        <w:trPr/>
        <w:tc>
          <w:tcPr>
            <w:tcW w:w="96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310</w:t>
            </w:r>
            <w:r>
              <w:rPr>
                <w:color w:val="000000"/>
              </w:rPr>
              <w:t>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46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 % of revenue</w:t>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48.4</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*Includes Acquisition charges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Other revenue decreased $7 million, and operating profit decreased $3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val="false"/>
          <w:color w:val="000000"/>
          <w:sz w:val="20"/>
          <w:u w:val="single"/>
        </w:rPr>
      </w:pPr>
      <w:r>
        <w:rPr>
          <w:rFonts w:ascii="Arial;sans-serif" w:hAnsi="Arial;sans-serif"/>
          <w:b w:val="false"/>
          <w:color w:val="000000"/>
          <w:sz w:val="20"/>
          <w:u w:val="single"/>
        </w:rPr>
        <w:t>Details of financial results – first six months of 2026 compared with first six months of 2025</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Revenue of $10.29 billion increased $1.77 billion, or 21%, due to increased demand in our Analog segment and, to a lesser extent, in our Embedded Processing segment.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Gross profit of $6.15 billion was up $1.26 billion, or 26%, primarily due to higher revenue, partially offset by higher manufacturing costs associated with our planned capacity expansions. As a percentage of revenue, gross profit increased to 59.8% from 57.4%.</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Operating expenses were $2.00 billion in both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Acquisition charges were $34 million due to transaction-related costs associated with our planned acquisition of Silicon Labs.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Operating profit was $4.12 billion, or 40.0% of revenue, compared with $2.89 billion, or 33.9% of revenue. This change was due to higher revenue and associated gross profit.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OI&amp;E was $116 million of income compared with $128 million of income. This decrease was primarily due to lower interest income.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Interest and debt expense of $282 million increased $21 million.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provision for income taxes was $427 million compared with $280 million. This increase was primarily due to higher income before income taxes. Our effective tax rate, which includes discrete tax items, was 11% compared with 10%.</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Net income was $3.53 billion compared with $2.47 billion. EPS was $3.82 compared with $2.69.</w:t>
      </w:r>
    </w:p>
    <w:p>
      <w:pPr>
        <w:pStyle w:val="TextBody"/>
        <w:bidi w:val="0"/>
        <w:spacing w:lineRule="auto" w:line="288" w:before="240" w:after="283"/>
        <w:jc w:val="left"/>
        <w:rPr>
          <w:rFonts w:ascii="Arial;sans-serif" w:hAnsi="Arial;sans-serif"/>
          <w:b w:val="false"/>
          <w:color w:val="000000"/>
          <w:sz w:val="20"/>
          <w:u w:val="single"/>
        </w:rPr>
      </w:pPr>
      <w:r>
        <w:rPr>
          <w:rFonts w:ascii="Arial;sans-serif" w:hAnsi="Arial;sans-serif"/>
          <w:b w:val="false"/>
          <w:color w:val="000000"/>
          <w:sz w:val="20"/>
          <w:u w:val="single"/>
        </w:rPr>
        <w:t>Year-to-date segment results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segment results compared with the year-ago period are as follows: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Analog</w:t>
      </w:r>
    </w:p>
    <w:tbl>
      <w:tblPr>
        <w:tblW w:w="6448" w:type="dxa"/>
        <w:jc w:val="left"/>
        <w:tblInd w:w="0" w:type="dxa"/>
        <w:tblLayout w:type="fixed"/>
        <w:tblCellMar>
          <w:top w:w="28" w:type="dxa"/>
          <w:left w:w="28" w:type="dxa"/>
          <w:bottom w:w="28" w:type="dxa"/>
          <w:right w:w="28" w:type="dxa"/>
        </w:tblCellMar>
      </w:tblPr>
      <w:tblGrid>
        <w:gridCol w:w="967"/>
        <w:gridCol w:w="848"/>
        <w:gridCol w:w="855"/>
        <w:gridCol w:w="211"/>
        <w:gridCol w:w="646"/>
        <w:gridCol w:w="286"/>
        <w:gridCol w:w="109"/>
        <w:gridCol w:w="109"/>
        <w:gridCol w:w="109"/>
        <w:gridCol w:w="211"/>
        <w:gridCol w:w="646"/>
        <w:gridCol w:w="286"/>
        <w:gridCol w:w="109"/>
        <w:gridCol w:w="109"/>
        <w:gridCol w:w="109"/>
        <w:gridCol w:w="188"/>
        <w:gridCol w:w="188"/>
        <w:gridCol w:w="462"/>
      </w:tblGrid>
      <w:tr>
        <w:trPr/>
        <w:tc>
          <w:tcPr>
            <w:tcW w:w="96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8,289</w:t>
            </w:r>
            <w:r>
              <w:rPr>
                <w:color w:val="000000"/>
              </w:rPr>
              <w:t>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6,662 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46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3,630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 % of revenue</w:t>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43.8</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Analog revenue increased in both product lines, led by Signal Chain, due to higher demand. Operating profit increased due to higher revenue and associated gross profit.</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Embedded Processing</w:t>
      </w:r>
    </w:p>
    <w:tbl>
      <w:tblPr>
        <w:tblW w:w="6553" w:type="dxa"/>
        <w:jc w:val="left"/>
        <w:tblInd w:w="0" w:type="dxa"/>
        <w:tblLayout w:type="fixed"/>
        <w:tblCellMar>
          <w:top w:w="28" w:type="dxa"/>
          <w:left w:w="28" w:type="dxa"/>
          <w:bottom w:w="28" w:type="dxa"/>
          <w:right w:w="28" w:type="dxa"/>
        </w:tblCellMar>
      </w:tblPr>
      <w:tblGrid>
        <w:gridCol w:w="967"/>
        <w:gridCol w:w="848"/>
        <w:gridCol w:w="855"/>
        <w:gridCol w:w="211"/>
        <w:gridCol w:w="646"/>
        <w:gridCol w:w="286"/>
        <w:gridCol w:w="109"/>
        <w:gridCol w:w="109"/>
        <w:gridCol w:w="109"/>
        <w:gridCol w:w="211"/>
        <w:gridCol w:w="646"/>
        <w:gridCol w:w="286"/>
        <w:gridCol w:w="109"/>
        <w:gridCol w:w="109"/>
        <w:gridCol w:w="109"/>
        <w:gridCol w:w="240"/>
        <w:gridCol w:w="241"/>
        <w:gridCol w:w="462"/>
      </w:tblGrid>
      <w:tr>
        <w:trPr/>
        <w:tc>
          <w:tcPr>
            <w:tcW w:w="96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1,511</w:t>
            </w:r>
            <w:r>
              <w:rPr>
                <w:color w:val="000000"/>
              </w:rPr>
              <w:t>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1,326 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46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 % of revenue</w:t>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19.2</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Embedded Processing revenue increased due to higher demand. Operating profit increased primarily due to higher revenue and associated gross profit.</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Other</w:t>
      </w:r>
    </w:p>
    <w:tbl>
      <w:tblPr>
        <w:tblW w:w="6178" w:type="dxa"/>
        <w:jc w:val="left"/>
        <w:tblInd w:w="0" w:type="dxa"/>
        <w:tblLayout w:type="fixed"/>
        <w:tblCellMar>
          <w:top w:w="28" w:type="dxa"/>
          <w:left w:w="28" w:type="dxa"/>
          <w:bottom w:w="28" w:type="dxa"/>
          <w:right w:w="28" w:type="dxa"/>
        </w:tblCellMar>
      </w:tblPr>
      <w:tblGrid>
        <w:gridCol w:w="968"/>
        <w:gridCol w:w="847"/>
        <w:gridCol w:w="855"/>
        <w:gridCol w:w="211"/>
        <w:gridCol w:w="481"/>
        <w:gridCol w:w="286"/>
        <w:gridCol w:w="109"/>
        <w:gridCol w:w="109"/>
        <w:gridCol w:w="109"/>
        <w:gridCol w:w="211"/>
        <w:gridCol w:w="481"/>
        <w:gridCol w:w="286"/>
        <w:gridCol w:w="109"/>
        <w:gridCol w:w="109"/>
        <w:gridCol w:w="109"/>
        <w:gridCol w:w="218"/>
        <w:gridCol w:w="218"/>
        <w:gridCol w:w="462"/>
      </w:tblGrid>
      <w:tr>
        <w:trPr/>
        <w:tc>
          <w:tcPr>
            <w:tcW w:w="96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488</w:t>
            </w:r>
            <w:r>
              <w:rPr>
                <w:color w:val="000000"/>
              </w:rPr>
              <w:t>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46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 % of revenue</w:t>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40.6</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*Includes Acquisition charges</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Other revenue decreased $41 million, and operating profit decreased $33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Financial condition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At the end of the second quarter of 2026, total cash (cash and cash equivalents plus short-term investments) was $7.00 billion, an increase of $2.12 billion from the end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Accounts receivable were $2.52 billion, an increase of $557 million compared with the end of 2025. Days sales outstanding in the second quarter of 2026 were 42 compared with 40 at the end of 2025.</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Inventory was $4.61 billion, a decrease of $199 million from the end of 2025. Days of inventory for the second quarter of 2026 were 196 compared with 222 at the end of 2025, which reflects the continued execution of our inventory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primary source of liquidity is cash flow from operations. Additional sources of liquidity are cash and cash equivalents, short-term investments and access to debt markets. We also have a variable-rate, revolving credit facility. As of June 30, 2026, our credit facility was undrawn, and we had no commercial paper outstanding. Cash flows from operating activities for the first six months of 2026 were $4.22 billion, an increase of $1.51 billion from the year-ago period due to higher net income and non-cash items, as well as lower cash used for working capital. Cash flows from operating activities for the first six months of 2026 and 2025 include cash benefits of $301 million and $203 million, respectively, from the U.S. CHIPS and Science Act (CHIPS Act) investment tax credit (ITC) used to reduce income taxes payable.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Investing activities for the first six months of 2026 used $1.75 billion compared with $82 million in the year-ago period. Capital expenditures were $1.19 billion compared with $2.43 billion in the year-ago period and were primarily for semiconductor manufacturing equipment and facilities in both periods. In 2026, CHIPS Act incentives provided cash proceeds of $1.10 billion compared with $260 million in the year-ago period. Short-term investments used cash of $1.66 billion compared with $2.10 billion of cash provided in the year-ago period.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Consistent with our capital management strategy, we expect between $2 billion to $3 billion of capital expenditures in 2026. Beyond 2026, capital expenditures will be dependent on revenue and growth expectations. We expect to continue benefiting from the CHIPS Act. This includes the 35% ITC on qualifying manufacturing investments as well as direct funding of up to $1.6 billion, of which we have received $630 million, for our three large-scale 300mm wafer fabs located in Sherman, Texas, and Lehi, Utah.</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Financing activities for the first six months of 2026 used $2.04 billion compared with $2.78 billion in the year-ago period. We received net proceeds of $1.20 billion from the issuance of fixed-rate, long-term debt and retired maturing debt of $750 million in the year-ago period. Dividends paid were $2.59 billion compared with $2.47 billion in the year-ago period, reflecting an increased dividend rate. We used $185 million to repurchase 0.9 million shares of our common stock compared with $955 million to repurchase 5.4 million shares in the year-ago period. Employee exercises of stock options provided cash proceeds of $754 million compared with $233 million in the year-ago period.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had $3.66 billion of cash and cash equivalents and $3.34 billion of short-term investments as of June 30, 2026. We believe we have the necessary financial resources and operating plans to fund our working capital needs, capital expenditures, dividend and debt-related payments, and other business requirements for at least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Non-GAAP financial information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This MD&amp;A includes references to free cash flow and ratios based on that measure. These are financial measures that were not prepared in accordance with generally accepted accounting principles in the United States (GAAP). Free cash flow is calculated as cash flows from operating activities (also referred to as cash flow from operations) less capital expenditures, plus proceeds from CHIPS Act incentives.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Reconciliation to the most directly comparable GAAP measures is provided in the table below.</w:t>
      </w:r>
    </w:p>
    <w:tbl>
      <w:tblPr>
        <w:tblW w:w="9642" w:type="dxa"/>
        <w:jc w:val="left"/>
        <w:tblInd w:w="0" w:type="dxa"/>
        <w:tblLayout w:type="fixed"/>
        <w:tblCellMar>
          <w:top w:w="28" w:type="dxa"/>
          <w:left w:w="28" w:type="dxa"/>
          <w:bottom w:w="28" w:type="dxa"/>
          <w:right w:w="28" w:type="dxa"/>
        </w:tblCellMar>
      </w:tblPr>
      <w:tblGrid>
        <w:gridCol w:w="2010"/>
        <w:gridCol w:w="1767"/>
        <w:gridCol w:w="1772"/>
        <w:gridCol w:w="211"/>
        <w:gridCol w:w="751"/>
        <w:gridCol w:w="286"/>
        <w:gridCol w:w="109"/>
        <w:gridCol w:w="109"/>
        <w:gridCol w:w="109"/>
        <w:gridCol w:w="211"/>
        <w:gridCol w:w="751"/>
        <w:gridCol w:w="286"/>
        <w:gridCol w:w="109"/>
        <w:gridCol w:w="109"/>
        <w:gridCol w:w="109"/>
        <w:gridCol w:w="240"/>
        <w:gridCol w:w="241"/>
        <w:gridCol w:w="462"/>
      </w:tblGrid>
      <w:tr>
        <w:trPr/>
        <w:tc>
          <w:tcPr>
            <w:tcW w:w="2010"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12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55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 from operations (GAAP) *</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8,667</w:t>
            </w:r>
            <w:r>
              <w:rPr>
                <w:color w:val="000000"/>
              </w:rPr>
              <w:t>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6,439 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46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(3,312)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CHIPS Act incentives</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1,179</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 (non-GAAP)</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6,534</w:t>
            </w:r>
            <w:r>
              <w:rPr>
                <w:color w:val="000000"/>
              </w:rPr>
              <w:t>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1,763 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5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19,453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16,675 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 from operations as a percentage of revenue (GAAP)</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 as a percentage of revenue (non-GAAP)</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33.6</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*Includes cash benefits of $433 million and $479 million from the CHIPS Act ITC used to reduce income taxes payable for the twelve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Information with respect to legal proceedings can be found in Note 8 to the financial statements.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SEC regulation, we have elected to use a disclosure threshold of $1 million in monetary sanctions for environmental proceedings involving a governmental authority.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Information concerning our risk factors is contained in Item 1A of our Form 10-K for the year ended December 31, 2025, and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The following table contains information regarding our purchases of our common stock during the quarter.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ISSUER PURCHASES OF EQUITY SECURITIES</w:t>
      </w:r>
    </w:p>
    <w:tbl>
      <w:tblPr>
        <w:tblW w:w="10205" w:type="dxa"/>
        <w:jc w:val="center"/>
        <w:tblInd w:w="0" w:type="dxa"/>
        <w:tblLayout w:type="fixed"/>
        <w:tblCellMar>
          <w:top w:w="28" w:type="dxa"/>
          <w:left w:w="28" w:type="dxa"/>
          <w:bottom w:w="28" w:type="dxa"/>
          <w:right w:w="28" w:type="dxa"/>
        </w:tblCellMar>
      </w:tblPr>
      <w:tblGrid>
        <w:gridCol w:w="301"/>
        <w:gridCol w:w="265"/>
        <w:gridCol w:w="266"/>
        <w:gridCol w:w="109"/>
        <w:gridCol w:w="109"/>
        <w:gridCol w:w="109"/>
        <w:gridCol w:w="624"/>
        <w:gridCol w:w="443"/>
        <w:gridCol w:w="445"/>
        <w:gridCol w:w="109"/>
        <w:gridCol w:w="109"/>
        <w:gridCol w:w="109"/>
        <w:gridCol w:w="262"/>
        <w:gridCol w:w="934"/>
        <w:gridCol w:w="135"/>
        <w:gridCol w:w="109"/>
        <w:gridCol w:w="109"/>
        <w:gridCol w:w="109"/>
        <w:gridCol w:w="881"/>
        <w:gridCol w:w="749"/>
        <w:gridCol w:w="751"/>
        <w:gridCol w:w="109"/>
        <w:gridCol w:w="109"/>
        <w:gridCol w:w="109"/>
        <w:gridCol w:w="412"/>
        <w:gridCol w:w="1263"/>
        <w:gridCol w:w="213"/>
        <w:gridCol w:w="431"/>
        <w:gridCol w:w="213"/>
        <w:gridCol w:w="309"/>
      </w:tblGrid>
      <w:tr>
        <w:trPr/>
        <w:tc>
          <w:tcPr>
            <w:tcW w:w="3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6"/>
              </w:rPr>
            </w:pPr>
            <w:r>
              <w:rPr>
                <w:rFonts w:ascii="Arial;sans-serif" w:hAnsi="Arial;sans-serif"/>
                <w:b/>
                <w:color w:val="000000"/>
                <w:sz w:val="16"/>
              </w:rPr>
              <w:t>Total Number of Shares Purchased as Part of Publicly Announced Plans or Programs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Approximate Dollar Value of Shares that May Yet Be Purchased Under the Plans or Programs (a)</w:t>
            </w:r>
          </w:p>
        </w:tc>
      </w:tr>
      <w:tr>
        <w:trPr/>
        <w:tc>
          <w:tcPr>
            <w:tcW w:w="832"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1 - 30,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114,386 </w:t>
            </w:r>
          </w:p>
        </w:tc>
        <w:tc>
          <w:tcPr>
            <w:tcW w:w="44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203.77 </w:t>
            </w:r>
          </w:p>
        </w:tc>
        <w:tc>
          <w:tcPr>
            <w:tcW w:w="13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114,386 </w:t>
            </w:r>
          </w:p>
        </w:tc>
        <w:tc>
          <w:tcPr>
            <w:tcW w:w="75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18.61 </w:t>
            </w:r>
          </w:p>
        </w:tc>
        <w:tc>
          <w:tcPr>
            <w:tcW w:w="21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billion</w:t>
            </w:r>
          </w:p>
        </w:tc>
      </w:tr>
      <w:tr>
        <w:trPr/>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1 - 31,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billion</w:t>
            </w:r>
          </w:p>
        </w:tc>
      </w:tr>
      <w:tr>
        <w:trPr/>
        <w:tc>
          <w:tcPr>
            <w:tcW w:w="8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1 - 30,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18.61 </w:t>
            </w:r>
          </w:p>
        </w:tc>
        <w:tc>
          <w:tcPr>
            <w:tcW w:w="2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billion (b)</w:t>
            </w:r>
          </w:p>
        </w:tc>
      </w:tr>
      <w:tr>
        <w:trPr/>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114,386 </w:t>
            </w:r>
          </w:p>
        </w:tc>
        <w:tc>
          <w:tcPr>
            <w:tcW w:w="4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114,386 </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(a)All open-market purchases during the quarter were made under the authorizations from our board of directors to purchase up to $12.0 billion and $15.0 billion of additional shares of TI common stock announced September 20, 2018, and September 15, 2022, respectively. No expiration date has been specified for these authorizations.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(b)As of June 30, 2026, this amount consisted of the remaining portion of the $12.0 billion authorized in September 2018 and the $15.0 billion authorized in September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673"/>
        <w:gridCol w:w="592"/>
        <w:gridCol w:w="595"/>
        <w:gridCol w:w="109"/>
        <w:gridCol w:w="109"/>
        <w:gridCol w:w="109"/>
        <w:gridCol w:w="2439"/>
        <w:gridCol w:w="2308"/>
        <w:gridCol w:w="3271"/>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Designation of Exhibits in This Report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Description of Exhibit</w:t>
            </w:r>
          </w:p>
        </w:tc>
      </w:tr>
      <w:tr>
        <w:trPr/>
        <w:tc>
          <w:tcPr>
            <w:tcW w:w="18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Arial;sans-serif" w:hAnsi="Arial;sans-serif"/>
                  <w:b w:val="false"/>
                  <w:color w:val="0000FF"/>
                  <w:sz w:val="20"/>
                  <w:u w:val="single"/>
                </w:rPr>
                <w:t>Restated Certificate of Incorporation of the Registrant, dated April 18, 1985, as amended (incorporated by reference to Exhibit 3(a) of the Registrant’s Annual Report on Form 10-K for the year ended December 31, 2014).</w:t>
              </w:r>
            </w:hyperlink>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Arial;sans-serif" w:hAnsi="Arial;sans-serif"/>
                  <w:b w:val="false"/>
                  <w:color w:val="0000FF"/>
                  <w:sz w:val="20"/>
                  <w:u w:val="single"/>
                </w:rPr>
                <w:t>By-Laws of the Registrant (incorporated by reference to Exhibit 3.1 of the Registrant’s Current Report on Form 8-K filed February 6, 2026).</w:t>
              </w:r>
            </w:hyperlink>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31(a)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q22026txnex31a.htm">
              <w:r>
                <w:rPr>
                  <w:rStyle w:val="InternetLink"/>
                  <w:rFonts w:ascii="Arial;sans-serif" w:hAnsi="Arial;sans-serif"/>
                  <w:b w:val="false"/>
                  <w:color w:val="0000FF"/>
                  <w:sz w:val="20"/>
                  <w:u w:val="single"/>
                </w:rPr>
                <w:t>Certification of Chief Executive Officer of Periodic Report Pursuant to Rule 13a-14(a) or Rule 15d-14(a).†</w:t>
              </w:r>
            </w:hyperlink>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q22026txnex31b.htm">
              <w:r>
                <w:rPr>
                  <w:rStyle w:val="InternetLink"/>
                  <w:rFonts w:ascii="Arial;sans-serif" w:hAnsi="Arial;sans-serif"/>
                  <w:b w:val="false"/>
                  <w:color w:val="0000FF"/>
                  <w:sz w:val="20"/>
                  <w:u w:val="single"/>
                </w:rPr>
                <w:t>Certification of Chief Financial Officer of Periodic Report Pursuant to Rule 13a-14(a) or Rule 15d-14(a).†</w:t>
              </w:r>
            </w:hyperlink>
          </w:p>
        </w:tc>
      </w:tr>
      <w:tr>
        <w:trPr/>
        <w:tc>
          <w:tcPr>
            <w:tcW w:w="18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32(a)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q22026txnex32a.htm">
              <w:r>
                <w:rPr>
                  <w:rStyle w:val="InternetLink"/>
                  <w:rFonts w:ascii="Arial;sans-serif" w:hAnsi="Arial;sans-serif"/>
                  <w:b w:val="false"/>
                  <w:color w:val="0000FF"/>
                  <w:sz w:val="20"/>
                  <w:u w:val="single"/>
                </w:rPr>
                <w:t>Certification by Chief Executive Officer of Periodic Report Pursuant to 18 U.S.C. Section 1350.†</w:t>
              </w:r>
            </w:hyperlink>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32(b)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q22026txnex32b.htm">
              <w:r>
                <w:rPr>
                  <w:rStyle w:val="InternetLink"/>
                  <w:rFonts w:ascii="Arial;sans-serif" w:hAnsi="Arial;sans-serif"/>
                  <w:b w:val="false"/>
                  <w:color w:val="0000FF"/>
                  <w:sz w:val="20"/>
                  <w:u w:val="single"/>
                </w:rPr>
                <w:t>Certification by Chief Financial Officer of Periodic Report Pursuant to 18 U.S.C. Section 1350.†</w:t>
              </w:r>
            </w:hyperlink>
          </w:p>
        </w:tc>
      </w:tr>
      <w:tr>
        <w:trPr/>
        <w:tc>
          <w:tcPr>
            <w:tcW w:w="18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XBRL Instance Document – the instance document does not appear in the Interactive Data File because its XBRL tags are embedded within the Inline XBRL document.†</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XBRL Taxonomy Extension Definition Linkbase Document.†</w:t>
            </w:r>
          </w:p>
        </w:tc>
      </w:tr>
      <w:tr>
        <w:trPr/>
        <w:tc>
          <w:tcPr>
            <w:tcW w:w="18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XBRL Taxonomy Extension Schema Document.†</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XBRL Taxonomy Extension Calculation Linkbase Document.†</w:t>
            </w:r>
          </w:p>
        </w:tc>
      </w:tr>
      <w:tr>
        <w:trPr/>
        <w:tc>
          <w:tcPr>
            <w:tcW w:w="18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XBRL Taxonomy Extension Label Linkbase Document.†</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XBRL Taxonomy Extension Presentation Linkbase Document.†</w:t>
            </w:r>
          </w:p>
        </w:tc>
      </w:tr>
      <w:tr>
        <w:trPr/>
        <w:tc>
          <w:tcPr>
            <w:tcW w:w="18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Cover Page Interactive Data File (embedded within the Inline XBRL document).†</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Arial;sans-serif" w:hAnsi="Arial;sans-serif"/>
                <w:b w:val="false"/>
                <w:color w:val="000000"/>
                <w:sz w:val="20"/>
              </w:rPr>
              <w:t>Filed or furnished herewith.</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Notice regarding forward-looking statements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 </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We urge you to carefully consider the following important factors that could cause actual results to differ materially from the expectations of TI or our management:</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Economic, social and political conditions, and natural events in the countries in which we, our customers or our suppliers operate, including global trade policies;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compete in products and prices in an intensely competitive industry;</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Market demand for semiconductors, particularly in the industrial and automotive markets, and customer demand that differs from forecasts;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Losses or curtailments of purchases from key customers or the timing and amount of customer inventory adjustments;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Evolving cybersecurity and other threats relating to our information technology systems or those of our customers, suppliers and other third parties;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successfully implement and realize opportunities from strategic, business and organizational changes, or our ability to realize our expectations regarding the amount and timing of associated restructuring charges and cost savings;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Availability and cost of key materials, utilities, manufacturing equipment, third-party manufacturing services and manufacturing technology;</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retain, train and recruit skilled personnel and effectively manage key employee succession;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Product liability, warranty or other claims relating to our products, software, manufacturing, delivery, services, design or communications, or recalls by our customers for a product containing one of our parts;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Financial difficulties of our distributors or semiconductor distributors’ promotion of competing product lines to our detriment; or disputes with current or former distributors;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maintain or improve profit margins, including our ability to utilize our manufacturing facilities at sufficient levels to cover our fixed operating costs, in an intensely competitive and cyclical industry and changing regulatory environment;</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Compliance with or changes in the complex laws, rules and regulations to which we are or may become subject, or actions of enforcement authorities, that restrict our ability to operate our business or subject us to fines, penalties or other legal liability;</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maintain and enforce a strong intellectual property portfolio and maintain freedom of operation in all jurisdictions where we conduct business; or our exposure to infringement claims;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make principal and interest payments on our debt when due;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Instability in the global credit and financial markets; and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Impairments of our non-financial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lineRule="auto" w:line="288" w:before="440" w:after="24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7634" w:type="dxa"/>
        <w:jc w:val="left"/>
        <w:tblInd w:w="0" w:type="dxa"/>
        <w:tblLayout w:type="fixed"/>
        <w:tblCellMar>
          <w:top w:w="28" w:type="dxa"/>
          <w:left w:w="28" w:type="dxa"/>
          <w:bottom w:w="28" w:type="dxa"/>
          <w:right w:w="28" w:type="dxa"/>
        </w:tblCellMar>
      </w:tblPr>
      <w:tblGrid>
        <w:gridCol w:w="124"/>
        <w:gridCol w:w="109"/>
        <w:gridCol w:w="109"/>
        <w:gridCol w:w="412"/>
        <w:gridCol w:w="412"/>
        <w:gridCol w:w="412"/>
        <w:gridCol w:w="883"/>
        <w:gridCol w:w="883"/>
        <w:gridCol w:w="883"/>
        <w:gridCol w:w="986"/>
        <w:gridCol w:w="986"/>
        <w:gridCol w:w="14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TEXAS INSTRUMENTS INCORPORATED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/s/</w:t>
            </w:r>
          </w:p>
        </w:tc>
        <w:tc>
          <w:tcPr>
            <w:tcW w:w="34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Rafael R. Lizardi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6"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Rafael R. Lizardi,</w:t>
            </w:r>
            <w:r>
              <w:rPr>
                <w:color w:val="000000"/>
              </w:rPr>
              <w:t xml:space="preserve"> </w:t>
            </w:r>
            <w:r>
              <w:rPr>
                <w:rFonts w:ascii="Arial;sans-serif" w:hAnsi="Arial;sans-serif"/>
                <w:b w:val="false"/>
                <w:color w:val="000000"/>
                <w:sz w:val="20"/>
              </w:rPr>
              <w:t>Senior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40" w:after="240"/>
        <w:jc w:val="left"/>
        <w:rPr>
          <w:rFonts w:ascii="Arial;sans-serif" w:hAnsi="Arial;sans-serif"/>
          <w:b w:val="false"/>
          <w:color w:val="000000"/>
          <w:sz w:val="20"/>
        </w:rPr>
      </w:pPr>
      <w:r>
        <w:rPr>
          <w:rFonts w:ascii="Arial;sans-serif" w:hAnsi="Arial;sans-serif"/>
          <w:b w:val="false"/>
          <w:color w:val="000000"/>
          <w:sz w:val="20"/>
        </w:rPr>
        <w:t>Date: July 24,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0"/>
          <w:u w:val="single"/>
        </w:rPr>
      </w:pPr>
      <w:r>
        <w:rPr>
          <w:rFonts w:ascii="Arial;sans-serif" w:hAnsi="Arial;sans-serif"/>
          <w:b w:val="false"/>
          <w:color w:val="000000"/>
          <w:sz w:val="20"/>
          <w:u w:val="single"/>
        </w:rPr>
        <w:t>Exhibit 31(a)</w:t>
      </w:r>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CERTIFICATIONS</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I, Haviv Ilan, certify that:</w:t>
      </w:r>
    </w:p>
    <w:p>
      <w:pPr>
        <w:pStyle w:val="TextBody"/>
        <w:bidi w:val="0"/>
        <w:spacing w:lineRule="auto" w:line="240" w:before="0" w:after="240"/>
        <w:ind w:left="0" w:right="0" w:hanging="540"/>
        <w:jc w:val="left"/>
        <w:rPr>
          <w:rFonts w:ascii="Arial;sans-serif" w:hAnsi="Arial;sans-serif"/>
          <w:b w:val="false"/>
          <w:color w:val="000000"/>
          <w:sz w:val="20"/>
        </w:rPr>
      </w:pPr>
      <w:r>
        <w:rPr>
          <w:rFonts w:ascii="Arial;sans-serif" w:hAnsi="Arial;sans-serif"/>
          <w:b w:val="false"/>
          <w:color w:val="000000"/>
          <w:sz w:val="20"/>
        </w:rPr>
        <w:t>1.I have reviewed this report on Form 10-Q of Texas Instruments Incorporated;</w:t>
      </w:r>
    </w:p>
    <w:p>
      <w:pPr>
        <w:pStyle w:val="TextBody"/>
        <w:bidi w:val="0"/>
        <w:spacing w:lineRule="auto" w:line="240" w:before="0" w:after="240"/>
        <w:ind w:left="0" w:right="0" w:hanging="54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0" w:after="240"/>
        <w:ind w:left="0" w:right="0" w:hanging="54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0" w:after="240"/>
        <w:ind w:left="0" w:right="0" w:hanging="54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0" w:after="240"/>
        <w:ind w:left="0" w:right="0" w:hanging="54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Date: July 24, 2026</w:t>
      </w:r>
    </w:p>
    <w:p>
      <w:pPr>
        <w:pStyle w:val="TextBody"/>
        <w:bidi w:val="0"/>
        <w:spacing w:lineRule="auto" w:line="288" w:before="0" w:after="0"/>
        <w:jc w:val="left"/>
        <w:rPr>
          <w:color w:val="000000"/>
        </w:rPr>
      </w:pPr>
      <w:r>
        <w:rPr>
          <w:color w:val="000000"/>
        </w:rPr>
        <w:t> </w:t>
      </w:r>
    </w:p>
    <w:tbl>
      <w:tblPr>
        <w:tblW w:w="2696" w:type="dxa"/>
        <w:jc w:val="left"/>
        <w:tblInd w:w="0" w:type="dxa"/>
        <w:tblLayout w:type="fixed"/>
        <w:tblCellMar>
          <w:top w:w="28" w:type="dxa"/>
          <w:left w:w="28" w:type="dxa"/>
          <w:bottom w:w="28" w:type="dxa"/>
          <w:right w:w="28" w:type="dxa"/>
        </w:tblCellMar>
      </w:tblPr>
      <w:tblGrid>
        <w:gridCol w:w="124"/>
        <w:gridCol w:w="109"/>
        <w:gridCol w:w="109"/>
        <w:gridCol w:w="687"/>
        <w:gridCol w:w="687"/>
        <w:gridCol w:w="9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Haviv Ilan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Haviv Ilan</w:t>
              <w:br/>
              <w:t xml:space="preserve">Chairman, President and </w:t>
              <w:br/>
              <w:t>Chief Executive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0"/>
          <w:u w:val="single"/>
        </w:rPr>
      </w:pPr>
      <w:r>
        <w:rPr>
          <w:rFonts w:ascii="Arial;sans-serif" w:hAnsi="Arial;sans-serif"/>
          <w:b w:val="false"/>
          <w:color w:val="000000"/>
          <w:sz w:val="20"/>
          <w:u w:val="single"/>
        </w:rPr>
        <w:t>Exhibit 31(b)</w:t>
      </w:r>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CERTIFICATIONS</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I, Rafael R. Lizardi, certify that:</w:t>
      </w:r>
    </w:p>
    <w:p>
      <w:pPr>
        <w:pStyle w:val="TextBody"/>
        <w:bidi w:val="0"/>
        <w:spacing w:lineRule="auto" w:line="240" w:before="0" w:after="240"/>
        <w:ind w:left="0" w:right="0" w:hanging="540"/>
        <w:jc w:val="left"/>
        <w:rPr>
          <w:rFonts w:ascii="Arial;sans-serif" w:hAnsi="Arial;sans-serif"/>
          <w:b w:val="false"/>
          <w:color w:val="000000"/>
          <w:sz w:val="20"/>
        </w:rPr>
      </w:pPr>
      <w:r>
        <w:rPr>
          <w:rFonts w:ascii="Arial;sans-serif" w:hAnsi="Arial;sans-serif"/>
          <w:b w:val="false"/>
          <w:color w:val="000000"/>
          <w:sz w:val="20"/>
        </w:rPr>
        <w:t>1.I have reviewed this report on Form 10-Q of Texas Instruments Incorporated;</w:t>
      </w:r>
    </w:p>
    <w:p>
      <w:pPr>
        <w:pStyle w:val="TextBody"/>
        <w:bidi w:val="0"/>
        <w:spacing w:lineRule="auto" w:line="240" w:before="0" w:after="240"/>
        <w:ind w:left="0" w:right="0" w:hanging="54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0" w:after="240"/>
        <w:ind w:left="0" w:right="0" w:hanging="54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0" w:after="240"/>
        <w:ind w:left="0" w:right="0" w:hanging="54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0" w:after="240"/>
        <w:ind w:left="0" w:right="0" w:hanging="54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54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Date: July 24, 2026</w:t>
      </w:r>
    </w:p>
    <w:p>
      <w:pPr>
        <w:pStyle w:val="TextBody"/>
        <w:bidi w:val="0"/>
        <w:spacing w:lineRule="auto" w:line="288" w:before="0" w:after="0"/>
        <w:jc w:val="left"/>
        <w:rPr>
          <w:color w:val="000000"/>
        </w:rPr>
      </w:pPr>
      <w:r>
        <w:rPr>
          <w:color w:val="000000"/>
        </w:rPr>
        <w:t> </w:t>
      </w:r>
    </w:p>
    <w:tbl>
      <w:tblPr>
        <w:tblW w:w="2757" w:type="dxa"/>
        <w:jc w:val="left"/>
        <w:tblInd w:w="0" w:type="dxa"/>
        <w:tblLayout w:type="fixed"/>
        <w:tblCellMar>
          <w:top w:w="28" w:type="dxa"/>
          <w:left w:w="28" w:type="dxa"/>
          <w:bottom w:w="28" w:type="dxa"/>
          <w:right w:w="28" w:type="dxa"/>
        </w:tblCellMar>
      </w:tblPr>
      <w:tblGrid>
        <w:gridCol w:w="124"/>
        <w:gridCol w:w="109"/>
        <w:gridCol w:w="109"/>
        <w:gridCol w:w="707"/>
        <w:gridCol w:w="707"/>
        <w:gridCol w:w="10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Rafael R. Lizardi</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Rafael R. Lizardi</w:t>
              <w:br/>
              <w:t>Senior Vice President and</w:t>
              <w:br/>
              <w:t>Chief Financial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0"/>
          <w:u w:val="single"/>
        </w:rPr>
      </w:pPr>
      <w:r>
        <w:rPr>
          <w:rFonts w:ascii="Arial;sans-serif" w:hAnsi="Arial;sans-serif"/>
          <w:b w:val="false"/>
          <w:color w:val="000000"/>
          <w:sz w:val="20"/>
          <w:u w:val="single"/>
        </w:rPr>
        <w:t>Exhibit 32(a)</w:t>
      </w:r>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Certification of Periodic Report</w:t>
      </w:r>
    </w:p>
    <w:p>
      <w:pPr>
        <w:pStyle w:val="TextBody"/>
        <w:bidi w:val="0"/>
        <w:spacing w:lineRule="auto" w:line="288" w:before="0" w:after="360"/>
        <w:jc w:val="center"/>
        <w:rPr/>
      </w:pPr>
      <w:r>
        <w:rPr>
          <w:rFonts w:ascii="Arial;sans-serif" w:hAnsi="Arial;sans-serif"/>
          <w:b w:val="false"/>
          <w:color w:val="000000"/>
          <w:sz w:val="20"/>
        </w:rPr>
        <w:t>Pursuant to 18 U.S.C. Section 1350</w:t>
      </w:r>
      <w:r>
        <w:rPr>
          <w:color w:val="000000"/>
        </w:rPr>
        <w:t> </w:t>
      </w:r>
    </w:p>
    <w:p>
      <w:pPr>
        <w:pStyle w:val="TextBody"/>
        <w:bidi w:val="0"/>
        <w:spacing w:lineRule="auto" w:line="288" w:before="360" w:after="240"/>
        <w:ind w:left="0" w:right="0" w:firstLine="540"/>
        <w:jc w:val="left"/>
        <w:rPr>
          <w:rFonts w:ascii="Arial;sans-serif" w:hAnsi="Arial;sans-serif"/>
          <w:b w:val="false"/>
          <w:color w:val="000000"/>
          <w:sz w:val="20"/>
        </w:rPr>
      </w:pPr>
      <w:r>
        <w:rPr>
          <w:rFonts w:ascii="Arial;sans-serif" w:hAnsi="Arial;sans-serif"/>
          <w:b w:val="false"/>
          <w:color w:val="000000"/>
          <w:sz w:val="20"/>
        </w:rPr>
        <w:t>For purposes of 18 U.S.C. Section 1350, as adopted pursuant to Section 906 of the Sarbanes-Oxley Act of 2002, the undersigned, Haviv Ilan, Chairman, President and Chief Executive Officer of Texas Instruments Incorporated (the “Company”), hereby certifies that, to his knowledge:</w:t>
      </w:r>
    </w:p>
    <w:p>
      <w:pPr>
        <w:pStyle w:val="TextBody"/>
        <w:bidi w:val="0"/>
        <w:spacing w:lineRule="auto" w:line="288" w:before="0" w:after="240"/>
        <w:ind w:left="0" w:right="0" w:firstLine="540"/>
        <w:jc w:val="left"/>
        <w:rPr>
          <w:rFonts w:ascii="Arial;sans-serif" w:hAnsi="Arial;sans-serif"/>
          <w:b w:val="false"/>
          <w:color w:val="000000"/>
          <w:sz w:val="20"/>
        </w:rPr>
      </w:pPr>
      <w:r>
        <w:rPr>
          <w:rFonts w:ascii="Arial;sans-serif" w:hAnsi="Arial;sans-serif"/>
          <w:b w:val="false"/>
          <w:color w:val="000000"/>
          <w:sz w:val="20"/>
        </w:rPr>
        <w:t>(i) the Quarterly Report on Form 10-Q of the Company for the quarter ended June 30, 2026, as filed with the Securities and Exchange Commission on the date hereof (the “Report”) fully complies with the requirements of Section 13(a) or 15(d) of the Securities Exchange Act of 1934; and</w:t>
      </w:r>
    </w:p>
    <w:p>
      <w:pPr>
        <w:pStyle w:val="TextBody"/>
        <w:bidi w:val="0"/>
        <w:spacing w:lineRule="auto" w:line="288" w:before="0" w:after="240"/>
        <w:ind w:left="0" w:right="0" w:firstLine="540"/>
        <w:jc w:val="left"/>
        <w:rPr>
          <w:rFonts w:ascii="Arial;sans-serif" w:hAnsi="Arial;sans-serif"/>
          <w:b w:val="false"/>
          <w:color w:val="000000"/>
          <w:sz w:val="20"/>
        </w:rPr>
      </w:pPr>
      <w:r>
        <w:rPr>
          <w:rFonts w:ascii="Arial;sans-serif" w:hAnsi="Arial;sans-serif"/>
          <w:b w:val="false"/>
          <w:color w:val="000000"/>
          <w:sz w:val="20"/>
        </w:rPr>
        <w:t>(ii) 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Dated:  July 24, 2026</w:t>
      </w:r>
    </w:p>
    <w:p>
      <w:pPr>
        <w:pStyle w:val="TextBody"/>
        <w:bidi w:val="0"/>
        <w:spacing w:lineRule="auto" w:line="288" w:before="0" w:after="0"/>
        <w:jc w:val="left"/>
        <w:rPr>
          <w:color w:val="000000"/>
        </w:rPr>
      </w:pPr>
      <w:r>
        <w:rPr>
          <w:color w:val="000000"/>
        </w:rPr>
        <w:t> </w:t>
      </w:r>
    </w:p>
    <w:tbl>
      <w:tblPr>
        <w:tblW w:w="2696" w:type="dxa"/>
        <w:jc w:val="left"/>
        <w:tblInd w:w="0" w:type="dxa"/>
        <w:tblLayout w:type="fixed"/>
        <w:tblCellMar>
          <w:top w:w="28" w:type="dxa"/>
          <w:left w:w="28" w:type="dxa"/>
          <w:bottom w:w="28" w:type="dxa"/>
          <w:right w:w="28" w:type="dxa"/>
        </w:tblCellMar>
      </w:tblPr>
      <w:tblGrid>
        <w:gridCol w:w="124"/>
        <w:gridCol w:w="109"/>
        <w:gridCol w:w="109"/>
        <w:gridCol w:w="687"/>
        <w:gridCol w:w="687"/>
        <w:gridCol w:w="9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Haviv Ilan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Haviv Ilan</w:t>
              <w:br/>
              <w:t xml:space="preserve">Chairman, President and </w:t>
              <w:br/>
              <w:t>Chief Executive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0"/>
          <w:u w:val="single"/>
        </w:rPr>
      </w:pPr>
      <w:r>
        <w:rPr>
          <w:rFonts w:ascii="Arial;sans-serif" w:hAnsi="Arial;sans-serif"/>
          <w:b w:val="false"/>
          <w:color w:val="000000"/>
          <w:sz w:val="20"/>
          <w:u w:val="single"/>
        </w:rPr>
        <w:t>Exhibit 32(b)</w:t>
      </w:r>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Certification of Periodic Report</w:t>
      </w:r>
    </w:p>
    <w:p>
      <w:pPr>
        <w:pStyle w:val="TextBody"/>
        <w:bidi w:val="0"/>
        <w:spacing w:lineRule="auto" w:line="288" w:before="0" w:after="360"/>
        <w:jc w:val="center"/>
        <w:rPr>
          <w:rFonts w:ascii="Arial;sans-serif" w:hAnsi="Arial;sans-serif"/>
          <w:b w:val="false"/>
          <w:color w:val="000000"/>
          <w:sz w:val="20"/>
        </w:rPr>
      </w:pPr>
      <w:r>
        <w:rPr>
          <w:rFonts w:ascii="Arial;sans-serif" w:hAnsi="Arial;sans-serif"/>
          <w:b w:val="false"/>
          <w:color w:val="000000"/>
          <w:sz w:val="20"/>
        </w:rPr>
        <w:t>Pursuant to 18 U.S.C. Section 1350</w:t>
      </w:r>
    </w:p>
    <w:p>
      <w:pPr>
        <w:pStyle w:val="TextBody"/>
        <w:bidi w:val="0"/>
        <w:spacing w:lineRule="auto" w:line="288" w:before="0" w:after="240"/>
        <w:ind w:left="0" w:right="0" w:firstLine="540"/>
        <w:jc w:val="left"/>
        <w:rPr>
          <w:rFonts w:ascii="Arial;sans-serif" w:hAnsi="Arial;sans-serif"/>
          <w:b w:val="false"/>
          <w:color w:val="000000"/>
          <w:sz w:val="20"/>
        </w:rPr>
      </w:pPr>
      <w:r>
        <w:rPr>
          <w:rFonts w:ascii="Arial;sans-serif" w:hAnsi="Arial;sans-serif"/>
          <w:b w:val="false"/>
          <w:color w:val="000000"/>
          <w:sz w:val="20"/>
        </w:rPr>
        <w:t>For purposes of 18 U.S.C. Section 1350, as adopted pursuant to Section 906 of the Sarbanes-Oxley Act of 2002, the undersigned, Rafael R. Lizardi, Senior Vice President and Chief Financial Officer of Texas Instruments Incorporated (the “Company”), hereby certifies that, to his knowledge:</w:t>
      </w:r>
    </w:p>
    <w:p>
      <w:pPr>
        <w:pStyle w:val="TextBody"/>
        <w:bidi w:val="0"/>
        <w:spacing w:lineRule="auto" w:line="288" w:before="0" w:after="240"/>
        <w:ind w:left="0" w:right="0" w:firstLine="540"/>
        <w:jc w:val="left"/>
        <w:rPr>
          <w:rFonts w:ascii="Arial;sans-serif" w:hAnsi="Arial;sans-serif"/>
          <w:b w:val="false"/>
          <w:color w:val="000000"/>
          <w:sz w:val="20"/>
        </w:rPr>
      </w:pPr>
      <w:r>
        <w:rPr>
          <w:rFonts w:ascii="Arial;sans-serif" w:hAnsi="Arial;sans-serif"/>
          <w:b w:val="false"/>
          <w:color w:val="000000"/>
          <w:sz w:val="20"/>
        </w:rPr>
        <w:t>(i) the Quarterly Report on Form 10-Q of the Company for the quarter ended June 30, 2026, as filed with the Securities and Exchange Commission on the date hereof (the “Report”) fully complies with the requirements of Section 13(a) or 15(d) of the Securities Exchange Act of 1934; and</w:t>
      </w:r>
    </w:p>
    <w:p>
      <w:pPr>
        <w:pStyle w:val="TextBody"/>
        <w:bidi w:val="0"/>
        <w:spacing w:lineRule="auto" w:line="288" w:before="0" w:after="240"/>
        <w:ind w:left="0" w:right="0" w:firstLine="540"/>
        <w:jc w:val="left"/>
        <w:rPr>
          <w:rFonts w:ascii="Arial;sans-serif" w:hAnsi="Arial;sans-serif"/>
          <w:b w:val="false"/>
          <w:color w:val="000000"/>
          <w:sz w:val="20"/>
        </w:rPr>
      </w:pPr>
      <w:r>
        <w:rPr>
          <w:rFonts w:ascii="Arial;sans-serif" w:hAnsi="Arial;sans-serif"/>
          <w:b w:val="false"/>
          <w:color w:val="000000"/>
          <w:sz w:val="20"/>
        </w:rPr>
        <w:t>(ii) 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Dated: July 24, 2026</w:t>
      </w:r>
    </w:p>
    <w:p>
      <w:pPr>
        <w:pStyle w:val="TextBody"/>
        <w:bidi w:val="0"/>
        <w:spacing w:lineRule="auto" w:line="288" w:before="0" w:after="0"/>
        <w:jc w:val="left"/>
        <w:rPr>
          <w:color w:val="000000"/>
        </w:rPr>
      </w:pPr>
      <w:r>
        <w:rPr>
          <w:color w:val="000000"/>
        </w:rPr>
        <w:t> </w:t>
      </w:r>
    </w:p>
    <w:tbl>
      <w:tblPr>
        <w:tblW w:w="2757" w:type="dxa"/>
        <w:jc w:val="left"/>
        <w:tblInd w:w="0" w:type="dxa"/>
        <w:tblLayout w:type="fixed"/>
        <w:tblCellMar>
          <w:top w:w="28" w:type="dxa"/>
          <w:left w:w="28" w:type="dxa"/>
          <w:bottom w:w="28" w:type="dxa"/>
          <w:right w:w="28" w:type="dxa"/>
        </w:tblCellMar>
      </w:tblPr>
      <w:tblGrid>
        <w:gridCol w:w="124"/>
        <w:gridCol w:w="109"/>
        <w:gridCol w:w="109"/>
        <w:gridCol w:w="707"/>
        <w:gridCol w:w="707"/>
        <w:gridCol w:w="10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Rafael R. Lizardi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Rafael R. Lizardi</w:t>
              <w:br/>
              <w:t>Senior Vice President and</w:t>
              <w:br/>
              <w:t>Chief Financial Officer</w:t>
            </w:r>
          </w:p>
        </w:tc>
      </w:tr>
    </w:tbl>
    <w:p>
      <w:pPr>
        <w:pStyle w:val="TextBody"/>
        <w:bidi w:val="0"/>
        <w:spacing w:before="24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7476/000009747615000003/txn-12312014xexhibit3a.htm" TargetMode="External"/><Relationship Id="rId3" Type="http://schemas.openxmlformats.org/officeDocument/2006/relationships/hyperlink" Target="https://www.sec.gov/Archives/edgar/data/97476/000119312526040312/d937106dex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11099</Words>
  <Characters>59930</Characters>
  <CharactersWithSpaces>70057</CharactersWithSpaces>
  <Paragraphs>2344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