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color w:val="000000"/>
          <w:sz w:val="36"/>
        </w:rPr>
        <w:t>FORM 8-K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 October 21,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TEXAS INSTRUMENTS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90" w:type="dxa"/>
        <w:jc w:val="left"/>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6"/>
        <w:gridCol w:w="456"/>
        <w:gridCol w:w="648"/>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001-03761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75-0289970</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12500 TI Boulevard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Dallas, Texas 75243</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Registrant’s telephone number, including area code: (214) 479-3773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Check the appropriate box below if the Form 8-K is intended to simultaneously satisfy the filing obligation of the registrant under any of the following provisions:</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13e-4(c) under the Exchange Act (17 CFR 240.13e-4(c))</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9036" w:type="dxa"/>
        <w:jc w:val="left"/>
        <w:tblInd w:w="0" w:type="dxa"/>
        <w:tblLayout w:type="fixed"/>
        <w:tblCellMar>
          <w:top w:w="28" w:type="dxa"/>
          <w:left w:w="28" w:type="dxa"/>
          <w:bottom w:w="28" w:type="dxa"/>
          <w:right w:w="28" w:type="dxa"/>
        </w:tblCellMar>
      </w:tblPr>
      <w:tblGrid>
        <w:gridCol w:w="1110"/>
        <w:gridCol w:w="977"/>
        <w:gridCol w:w="987"/>
        <w:gridCol w:w="109"/>
        <w:gridCol w:w="109"/>
        <w:gridCol w:w="109"/>
        <w:gridCol w:w="349"/>
        <w:gridCol w:w="349"/>
        <w:gridCol w:w="351"/>
        <w:gridCol w:w="109"/>
        <w:gridCol w:w="109"/>
        <w:gridCol w:w="109"/>
        <w:gridCol w:w="1245"/>
        <w:gridCol w:w="1245"/>
        <w:gridCol w:w="1769"/>
      </w:tblGrid>
      <w:tr>
        <w:trPr/>
        <w:tc>
          <w:tcPr>
            <w:tcW w:w="111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par value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TXN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Registrant’s news release dated October 21, 2026, regarding its third-quarter results of operations and financial condition is attached hereto as Exhibit 99.</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ITEM 9.01. Exhibits</w:t>
      </w:r>
    </w:p>
    <w:tbl>
      <w:tblPr>
        <w:tblW w:w="8263"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2030"/>
        <w:gridCol w:w="2030"/>
        <w:gridCol w:w="2900"/>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Designation</w:t>
              <w:br/>
              <w:t>of Exhibit</w:t>
              <w:br/>
              <w:t>in this</w:t>
              <w:br/>
              <w:t>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 of Exhibit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6txnex99-eredgar.htm">
              <w:r>
                <w:rPr>
                  <w:rStyle w:val="InternetLink"/>
                  <w:rFonts w:ascii="Arial;sans-serif" w:hAnsi="Arial;sans-serif"/>
                  <w:b w:val="false"/>
                  <w:color w:val="0000FF"/>
                  <w:sz w:val="20"/>
                  <w:u w:val="single"/>
                </w:rPr>
                <w:t>Registrant’s News Release</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October 21, 2026 (furnished pursuant to Item 2.02)</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358"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412"/>
        <w:gridCol w:w="412"/>
        <w:gridCol w:w="412"/>
        <w:gridCol w:w="412"/>
        <w:gridCol w:w="412"/>
        <w:gridCol w:w="412"/>
        <w:gridCol w:w="698"/>
        <w:gridCol w:w="698"/>
        <w:gridCol w:w="101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TEXAS INSTRUMENTS INCORPORATED</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Julie Knecht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Julie Knecht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TI reports third quarter 2026 financial results and shareholder returns</w:t>
      </w:r>
    </w:p>
    <w:p>
      <w:pPr>
        <w:pStyle w:val="TextBody"/>
        <w:bidi w:val="0"/>
        <w:spacing w:lineRule="auto" w:line="288" w:before="240" w:after="283"/>
        <w:jc w:val="center"/>
        <w:rPr/>
      </w:pPr>
      <w:r>
        <w:rPr>
          <w:rFonts w:ascii="Arial;sans-serif" w:hAnsi="Arial;sans-serif"/>
          <w:b w:val="false"/>
          <w:color w:val="000000"/>
          <w:sz w:val="20"/>
        </w:rPr>
        <w:t xml:space="preserve">Conference call at 3:30 p.m. Central time today on </w:t>
      </w:r>
      <w:r>
        <w:rPr>
          <w:rFonts w:ascii="Arial;sans-serif" w:hAnsi="Arial;sans-serif"/>
          <w:b w:val="false"/>
          <w:color w:val="0E32E1"/>
          <w:sz w:val="20"/>
          <w:u w:val="single"/>
        </w:rPr>
        <w:t>ti.com/ir</w:t>
      </w:r>
      <w:r>
        <w:rPr>
          <w:color w:val="000000"/>
        </w:rPr>
        <w:t xml:space="preserve">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DALLAS (Oct. 21, 2026) – Texas Instruments Incorporated (TI) (Nasdaq: TXN) today reported third quarter revenue of $6.06 billion, net income of $2.43 billion and earnings per share of $2.62. Earnings per share included a 1-cent reduction that was not in the company's original guidance.</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Regarding the company's performance and returns to shareholders, Haviv Ilan, TI's chairman, president and CEO, made the following comments: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"Revenue increased 11% sequentially and 28% from the same quarter a year ago with continued broad growth in industrial, automotive and data center.</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"Our cash flow from operations of $9.9 billion for the trailing 12 months again underscored the strength of our business model, the quality of our product portfolio and the benefit of 300mm production. Free cash flow for the same period was $8.4 billion.</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"Over the past 12 months we invested $4.0 billion in R&amp;D and SG&amp;A, invested $2.6 billion in capital expenditures and returned $5.8 billion to owners.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"TI's fourth quarter outlook is for revenue in the range of $5.80 billion to $6.30 billion and earnings per share between $2.45 and $2.79."</w:t>
      </w:r>
    </w:p>
    <w:p>
      <w:pPr>
        <w:pStyle w:val="TextBody"/>
        <w:bidi w:val="0"/>
        <w:spacing w:before="24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1</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1</w:t>
                      </w: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Free cash flow, a non-GAAP financial measure, is cash flow from operations less capital expenditures, plus proceeds from U.S. CHIPS and Science Act (CHIPS Act) incentives.</w:t>
      </w: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Earnings summary</w:t>
      </w:r>
    </w:p>
    <w:tbl>
      <w:tblPr>
        <w:tblW w:w="6960" w:type="dxa"/>
        <w:jc w:val="left"/>
        <w:tblInd w:w="0" w:type="dxa"/>
        <w:tblLayout w:type="fixed"/>
        <w:tblCellMar>
          <w:top w:w="28" w:type="dxa"/>
          <w:left w:w="28" w:type="dxa"/>
          <w:bottom w:w="28" w:type="dxa"/>
          <w:right w:w="28" w:type="dxa"/>
        </w:tblCellMar>
      </w:tblPr>
      <w:tblGrid>
        <w:gridCol w:w="1270"/>
        <w:gridCol w:w="1116"/>
        <w:gridCol w:w="1123"/>
        <w:gridCol w:w="211"/>
        <w:gridCol w:w="646"/>
        <w:gridCol w:w="109"/>
        <w:gridCol w:w="109"/>
        <w:gridCol w:w="109"/>
        <w:gridCol w:w="109"/>
        <w:gridCol w:w="211"/>
        <w:gridCol w:w="646"/>
        <w:gridCol w:w="109"/>
        <w:gridCol w:w="109"/>
        <w:gridCol w:w="109"/>
        <w:gridCol w:w="109"/>
        <w:gridCol w:w="188"/>
        <w:gridCol w:w="188"/>
        <w:gridCol w:w="489"/>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millions, except per-share amounts)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3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Cash generation</w:t>
      </w:r>
    </w:p>
    <w:tbl>
      <w:tblPr>
        <w:tblW w:w="7812" w:type="dxa"/>
        <w:jc w:val="left"/>
        <w:tblInd w:w="0" w:type="dxa"/>
        <w:tblLayout w:type="fixed"/>
        <w:tblCellMar>
          <w:top w:w="28" w:type="dxa"/>
          <w:left w:w="28" w:type="dxa"/>
          <w:bottom w:w="28" w:type="dxa"/>
          <w:right w:w="28" w:type="dxa"/>
        </w:tblCellMar>
      </w:tblPr>
      <w:tblGrid>
        <w:gridCol w:w="946"/>
        <w:gridCol w:w="828"/>
        <w:gridCol w:w="835"/>
        <w:gridCol w:w="211"/>
        <w:gridCol w:w="646"/>
        <w:gridCol w:w="109"/>
        <w:gridCol w:w="109"/>
        <w:gridCol w:w="109"/>
        <w:gridCol w:w="109"/>
        <w:gridCol w:w="211"/>
        <w:gridCol w:w="646"/>
        <w:gridCol w:w="286"/>
        <w:gridCol w:w="109"/>
        <w:gridCol w:w="109"/>
        <w:gridCol w:w="109"/>
        <w:gridCol w:w="211"/>
        <w:gridCol w:w="646"/>
        <w:gridCol w:w="286"/>
        <w:gridCol w:w="109"/>
        <w:gridCol w:w="109"/>
        <w:gridCol w:w="109"/>
        <w:gridCol w:w="240"/>
        <w:gridCol w:w="241"/>
        <w:gridCol w:w="489"/>
      </w:tblGrid>
      <w:tr>
        <w:trPr/>
        <w:tc>
          <w:tcPr>
            <w:tcW w:w="9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Trailing 12 Months</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9,896 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6,897 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 of revenue</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Cash return</w:t>
      </w:r>
    </w:p>
    <w:tbl>
      <w:tblPr>
        <w:tblW w:w="6604" w:type="dxa"/>
        <w:jc w:val="left"/>
        <w:tblInd w:w="0" w:type="dxa"/>
        <w:tblLayout w:type="fixed"/>
        <w:tblCellMar>
          <w:top w:w="28" w:type="dxa"/>
          <w:left w:w="28" w:type="dxa"/>
          <w:bottom w:w="28" w:type="dxa"/>
          <w:right w:w="28" w:type="dxa"/>
        </w:tblCellMar>
      </w:tblPr>
      <w:tblGrid>
        <w:gridCol w:w="654"/>
        <w:gridCol w:w="570"/>
        <w:gridCol w:w="576"/>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8"/>
        <w:gridCol w:w="218"/>
        <w:gridCol w:w="489"/>
      </w:tblGrid>
      <w:tr>
        <w:trPr/>
        <w:tc>
          <w:tcPr>
            <w:tcW w:w="65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Trailing 12 Months</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1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returned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5"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2</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2</w:t>
                      </w:r>
                      <w:r>
                        <w:rPr>
                          <w:color w:val="000000"/>
                        </w:rPr>
                        <w:t>    </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TEXAS INSTRUMENTS INCORPORATED AND SUBSIDIARIES</w:t>
      </w:r>
    </w:p>
    <w:tbl>
      <w:tblPr>
        <w:tblW w:w="10205" w:type="dxa"/>
        <w:jc w:val="center"/>
        <w:tblInd w:w="0" w:type="dxa"/>
        <w:tblLayout w:type="fixed"/>
        <w:tblCellMar>
          <w:top w:w="28" w:type="dxa"/>
          <w:left w:w="28" w:type="dxa"/>
          <w:bottom w:w="28" w:type="dxa"/>
          <w:right w:w="28" w:type="dxa"/>
        </w:tblCellMar>
      </w:tblPr>
      <w:tblGrid>
        <w:gridCol w:w="2380"/>
        <w:gridCol w:w="2092"/>
        <w:gridCol w:w="2104"/>
        <w:gridCol w:w="144"/>
        <w:gridCol w:w="144"/>
        <w:gridCol w:w="144"/>
        <w:gridCol w:w="292"/>
        <w:gridCol w:w="897"/>
        <w:gridCol w:w="150"/>
        <w:gridCol w:w="150"/>
        <w:gridCol w:w="150"/>
        <w:gridCol w:w="150"/>
        <w:gridCol w:w="292"/>
        <w:gridCol w:w="897"/>
        <w:gridCol w:w="219"/>
      </w:tblGrid>
      <w:tr>
        <w:trPr/>
        <w:tc>
          <w:tcPr>
            <w:tcW w:w="2380"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Statements of Income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Three Months Ended</w:t>
              <w:br/>
              <w:t>September 30,</w:t>
            </w:r>
          </w:p>
        </w:tc>
      </w:tr>
      <w:tr>
        <w:trPr/>
        <w:tc>
          <w:tcPr>
            <w:tcW w:w="6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 except per-share amounts)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6,055</w:t>
            </w:r>
            <w:r>
              <w:rPr>
                <w:color w:val="000000"/>
              </w:rPr>
              <w:t> </w:t>
            </w:r>
          </w:p>
        </w:tc>
        <w:tc>
          <w:tcPr>
            <w:tcW w:w="15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4,742 </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(COR)</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2,168</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3,887</w:t>
            </w:r>
            <w:r>
              <w:rPr>
                <w:color w:val="000000"/>
              </w:rPr>
              <w:t> </w:t>
            </w:r>
          </w:p>
        </w:tc>
        <w:tc>
          <w:tcPr>
            <w:tcW w:w="15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2,723 </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(R&amp;D)</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530</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(SG&amp;A)</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476</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charges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charges/other</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2,874</w:t>
            </w:r>
            <w:r>
              <w:rPr>
                <w:color w:val="000000"/>
              </w:rPr>
              <w:t>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 (OI&amp;E)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2,805</w:t>
            </w:r>
            <w:r>
              <w:rPr>
                <w:color w:val="000000"/>
              </w:rPr>
              <w:t> </w:t>
            </w:r>
          </w:p>
        </w:tc>
        <w:tc>
          <w:tcPr>
            <w:tcW w:w="15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1,584 </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2,425</w:t>
            </w:r>
            <w:r>
              <w:rPr>
                <w:color w:val="000000"/>
              </w:rPr>
              <w:t> </w:t>
            </w:r>
          </w:p>
        </w:tc>
        <w:tc>
          <w:tcPr>
            <w:tcW w:w="15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common share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shares outstanding:</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914</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921</w:t>
            </w:r>
            <w:r>
              <w:rPr>
                <w:color w:val="000000"/>
              </w:rPr>
              <w:t> </w:t>
            </w:r>
          </w:p>
        </w:tc>
        <w:tc>
          <w:tcPr>
            <w:tcW w:w="150"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219"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declared per common share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Supplemental Information</w:t>
              <w:br/>
              <w:t>(Quarterly, except as noted)</w:t>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3629" w:type="dxa"/>
            <w:gridSpan w:val="12"/>
            <w:tcBorders/>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1858" w:type="dxa"/>
            <w:gridSpan w:val="6"/>
            <w:tcBorders/>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 is based on the following:</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taxes (calculated using the estimated annual effective tax rate)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Discrete tax items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 (effective taxes)</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w:t>
            </w:r>
            <w:r>
              <w:rPr>
                <w:color w:val="000000"/>
              </w:rPr>
              <w:t> </w:t>
            </w:r>
          </w:p>
        </w:tc>
        <w:tc>
          <w:tcPr>
            <w:tcW w:w="15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portion of net income is allocated to unvested restricted stock units (RSUs) on which we pay dividend equivalents. Diluted EPS is calculated using the following:</w:t>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2,425</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 for diluted EPS</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2,411</w:t>
            </w:r>
            <w:r>
              <w:rPr>
                <w:color w:val="000000"/>
              </w:rPr>
              <w:t> </w:t>
            </w:r>
          </w:p>
        </w:tc>
        <w:tc>
          <w:tcPr>
            <w:tcW w:w="15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21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7660"/>
                <wp:effectExtent l="0" t="0" r="0" b="0"/>
                <wp:wrapNone/>
                <wp:docPr id="6" name="Frame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3</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3</w:t>
                      </w:r>
                      <w:r>
                        <w:rPr>
                          <w:color w:val="000000"/>
                        </w:rPr>
                        <w:t>    </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TEXAS INSTRUMENTS INCORPORATED AND SUBSIDIARIES</w:t>
      </w:r>
    </w:p>
    <w:tbl>
      <w:tblPr>
        <w:tblW w:w="9905" w:type="dxa"/>
        <w:jc w:val="center"/>
        <w:tblInd w:w="0" w:type="dxa"/>
        <w:tblLayout w:type="fixed"/>
        <w:tblCellMar>
          <w:top w:w="28" w:type="dxa"/>
          <w:left w:w="28" w:type="dxa"/>
          <w:bottom w:w="28" w:type="dxa"/>
          <w:right w:w="28" w:type="dxa"/>
        </w:tblCellMar>
      </w:tblPr>
      <w:tblGrid>
        <w:gridCol w:w="2558"/>
        <w:gridCol w:w="2247"/>
        <w:gridCol w:w="2259"/>
        <w:gridCol w:w="109"/>
        <w:gridCol w:w="109"/>
        <w:gridCol w:w="109"/>
        <w:gridCol w:w="211"/>
        <w:gridCol w:w="751"/>
        <w:gridCol w:w="109"/>
        <w:gridCol w:w="109"/>
        <w:gridCol w:w="109"/>
        <w:gridCol w:w="109"/>
        <w:gridCol w:w="211"/>
        <w:gridCol w:w="751"/>
        <w:gridCol w:w="154"/>
      </w:tblGrid>
      <w:tr>
        <w:trPr/>
        <w:tc>
          <w:tcPr>
            <w:tcW w:w="255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7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receivable, net of allowances of ($27) and ($21)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4,672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4,829 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16,880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13,876 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(6,239)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licenses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Overfunded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3,017</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Underfunded retirement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$25 par value. Shares authorized – 10;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$1 par value. Shares authorized – 2,400; shares issued – 1,741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54,282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common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September 30, 2026 – 827; September 30, 2025 – 832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(41,955)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(41,744)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 net of taxes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19,185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16,627 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36,839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7" name="Frame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4</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4</w:t>
                      </w:r>
                      <w:r>
                        <w:rPr>
                          <w:color w:val="000000"/>
                        </w:rPr>
                        <w:t>    </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TEXAS INSTRUMENTS INCORPORATED AND SUBSIDIARIES</w:t>
      </w:r>
    </w:p>
    <w:tbl>
      <w:tblPr>
        <w:tblW w:w="8559" w:type="dxa"/>
        <w:jc w:val="center"/>
        <w:tblInd w:w="0" w:type="dxa"/>
        <w:tblLayout w:type="fixed"/>
        <w:tblCellMar>
          <w:top w:w="28" w:type="dxa"/>
          <w:left w:w="28" w:type="dxa"/>
          <w:bottom w:w="28" w:type="dxa"/>
          <w:right w:w="28" w:type="dxa"/>
        </w:tblCellMar>
      </w:tblPr>
      <w:tblGrid>
        <w:gridCol w:w="2090"/>
        <w:gridCol w:w="1837"/>
        <w:gridCol w:w="1847"/>
        <w:gridCol w:w="109"/>
        <w:gridCol w:w="109"/>
        <w:gridCol w:w="109"/>
        <w:gridCol w:w="225"/>
        <w:gridCol w:w="690"/>
        <w:gridCol w:w="116"/>
        <w:gridCol w:w="116"/>
        <w:gridCol w:w="116"/>
        <w:gridCol w:w="116"/>
        <w:gridCol w:w="225"/>
        <w:gridCol w:w="690"/>
        <w:gridCol w:w="164"/>
      </w:tblGrid>
      <w:tr>
        <w:trPr/>
        <w:tc>
          <w:tcPr>
            <w:tcW w:w="2090"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Three Months Ended</w:t>
              <w:br/>
              <w:t>September 30,</w:t>
            </w:r>
          </w:p>
        </w:tc>
      </w:tr>
      <w:tr>
        <w:trPr/>
        <w:tc>
          <w:tcPr>
            <w:tcW w:w="5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capitalized software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from changes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funded status of retirement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3,419</w:t>
            </w:r>
            <w:r>
              <w:rPr>
                <w:color w:val="000000"/>
              </w:rPr>
              <w:t> </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2,190 </w:t>
            </w:r>
          </w:p>
        </w:tc>
        <w:tc>
          <w:tcPr>
            <w:tcW w:w="16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(1,969)</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1,399</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(987)</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(500)</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common stock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(1,881)</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3,660</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3,044 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4,211</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tax credit (ITC) used to reduce 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benefit related to the CHIPS Act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w:t>
            </w:r>
            <w:r>
              <w:rPr>
                <w:color w:val="000000"/>
              </w:rPr>
              <w:t> </w:t>
            </w:r>
          </w:p>
        </w:tc>
        <w:tc>
          <w:tcPr>
            <w:tcW w:w="1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6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660"/>
                <wp:effectExtent l="0" t="0" r="0" b="0"/>
                <wp:wrapNone/>
                <wp:docPr id="8" name="Frame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5</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5</w:t>
                      </w: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Segment results</w:t>
      </w:r>
    </w:p>
    <w:tbl>
      <w:tblPr>
        <w:tblW w:w="5700" w:type="dxa"/>
        <w:jc w:val="left"/>
        <w:tblInd w:w="0" w:type="dxa"/>
        <w:tblLayout w:type="fixed"/>
        <w:tblCellMar>
          <w:top w:w="28" w:type="dxa"/>
          <w:left w:w="28" w:type="dxa"/>
          <w:bottom w:w="28" w:type="dxa"/>
          <w:right w:w="28" w:type="dxa"/>
        </w:tblCellMar>
      </w:tblPr>
      <w:tblGrid>
        <w:gridCol w:w="778"/>
        <w:gridCol w:w="681"/>
        <w:gridCol w:w="685"/>
        <w:gridCol w:w="211"/>
        <w:gridCol w:w="646"/>
        <w:gridCol w:w="109"/>
        <w:gridCol w:w="109"/>
        <w:gridCol w:w="109"/>
        <w:gridCol w:w="109"/>
        <w:gridCol w:w="211"/>
        <w:gridCol w:w="646"/>
        <w:gridCol w:w="109"/>
        <w:gridCol w:w="109"/>
        <w:gridCol w:w="109"/>
        <w:gridCol w:w="109"/>
        <w:gridCol w:w="240"/>
        <w:gridCol w:w="241"/>
        <w:gridCol w:w="489"/>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Analog:</w:t>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Embedded Processing:</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Includes Acquisition charges and Restructuring charges/other</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660"/>
                <wp:effectExtent l="0" t="0" r="0" b="0"/>
                <wp:wrapNone/>
                <wp:docPr id="9" name="Frame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6</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6</w:t>
                      </w:r>
                      <w:r>
                        <w:rPr>
                          <w:color w:val="000000"/>
                        </w:rPr>
                        <w:t>    </w:t>
                      </w:r>
                    </w:p>
                  </w:txbxContent>
                </v:textbox>
                <w10:wrap type="none"/>
              </v:rect>
            </w:pict>
          </mc:Fallback>
        </mc:AlternateContent>
      </w: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Non-GAAP financial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release includes references to free cash flow and ratios based on that measure. These are financial measures that were not prepared in accordance with GAAP. Free cash flow is calculated as cash flows from operating activities (also referred to as cash flow from operations) less capital expenditures, plus proceeds from CHIPS Act incentives.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Reconciliation to the most directly comparable GAAP measures is provided in the table below.</w:t>
      </w:r>
    </w:p>
    <w:tbl>
      <w:tblPr>
        <w:tblW w:w="10205" w:type="dxa"/>
        <w:jc w:val="left"/>
        <w:tblInd w:w="0" w:type="dxa"/>
        <w:tblLayout w:type="fixed"/>
        <w:tblCellMar>
          <w:top w:w="28" w:type="dxa"/>
          <w:left w:w="28" w:type="dxa"/>
          <w:bottom w:w="28" w:type="dxa"/>
          <w:right w:w="28" w:type="dxa"/>
        </w:tblCellMar>
      </w:tblPr>
      <w:tblGrid>
        <w:gridCol w:w="1396"/>
        <w:gridCol w:w="1092"/>
        <w:gridCol w:w="1092"/>
        <w:gridCol w:w="396"/>
        <w:gridCol w:w="1216"/>
        <w:gridCol w:w="208"/>
        <w:gridCol w:w="109"/>
        <w:gridCol w:w="109"/>
        <w:gridCol w:w="109"/>
        <w:gridCol w:w="109"/>
        <w:gridCol w:w="109"/>
        <w:gridCol w:w="109"/>
        <w:gridCol w:w="211"/>
        <w:gridCol w:w="751"/>
        <w:gridCol w:w="286"/>
        <w:gridCol w:w="109"/>
        <w:gridCol w:w="109"/>
        <w:gridCol w:w="109"/>
        <w:gridCol w:w="211"/>
        <w:gridCol w:w="751"/>
        <w:gridCol w:w="286"/>
        <w:gridCol w:w="109"/>
        <w:gridCol w:w="109"/>
        <w:gridCol w:w="109"/>
        <w:gridCol w:w="240"/>
        <w:gridCol w:w="241"/>
        <w:gridCol w:w="520"/>
      </w:tblGrid>
      <w:tr>
        <w:trPr/>
        <w:tc>
          <w:tcPr>
            <w:tcW w:w="139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For 12 </w:t>
              <w:br/>
              <w:t>Months</w:t>
              <w:br/>
              <w:t>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w:t>
            </w:r>
          </w:p>
        </w:tc>
        <w:tc>
          <w:tcPr>
            <w:tcW w:w="1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5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(GAAP) *</w:t>
            </w:r>
          </w:p>
        </w:tc>
        <w:tc>
          <w:tcPr>
            <w:tcW w:w="3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3,419</w:t>
            </w:r>
            <w:r>
              <w:rPr>
                <w:color w:val="000000"/>
              </w:rPr>
              <w:t> </w:t>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9,896</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6,897 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5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16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1,104</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(non-GAAP)</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2,956</w:t>
            </w:r>
            <w:r>
              <w:rPr>
                <w:color w:val="000000"/>
              </w:rPr>
              <w:t>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8,422</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20,766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as a percentage of revenue (GAAP)</w:t>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as a percentage of revenue (non-GAAP)</w:t>
            </w:r>
          </w:p>
        </w:tc>
        <w:tc>
          <w:tcPr>
            <w:tcW w:w="18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40.6</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 xml:space="preserve">* </w:t>
      </w:r>
      <w:r>
        <w:rPr>
          <w:rFonts w:ascii="Arial;sans-serif" w:hAnsi="Arial;sans-serif"/>
          <w:b w:val="false"/>
          <w:i/>
          <w:color w:val="000000"/>
          <w:sz w:val="20"/>
        </w:rPr>
        <w:t>Includes cash benefits of $79 million, $469 million and $302 million from the CHIPS Act ITC used to reduce income taxes payable for the three months ended September 30, 2026, and the twelve months ended September 30, 2026 and 2025,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7660"/>
                <wp:effectExtent l="0" t="0" r="0" b="0"/>
                <wp:wrapNone/>
                <wp:docPr id="10" name="Frame1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7</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7</w:t>
                      </w:r>
                      <w:r>
                        <w:rPr>
                          <w:color w:val="000000"/>
                        </w:rPr>
                        <w:t>    </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Notice regarding 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urge you to carefully consider the following important factors that could cause actual results to differ materially from the expectations of TI or our management: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Economic, social and political conditions, and natural events in the countries in which we, our customers or our suppliers operate, including global trade policies;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compete in products and prices in an intensely competitive industry;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demand for semiconductors, particularly in the industrial and automotive markets, and customer demand that differs from forecasts;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Losses or curtailments of purchases from key customers or the timing and amount of customer inventory adjustments;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Evolving cybersecurity and other threats relating to our information technology systems or those of our customers, suppliers and other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implement and realize opportunities from strategic, business and organizational changes, or our ability to realize our expectations regarding the amount and timing of associated restructuring charges and cost savings;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Availability and cost of key materials, utilities, manufacturing equipment, third-party manufacturing services and manufacturing technology;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retain, train and recruit skilled personnel and effectively manage key employee succession;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liability, warranty or other claims relating to our products, software, manufacturing, delivery, services, design or communications, or recalls by our customers for a product containing one of our parts;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Financial difficulties of our distributors or semiconductor distributors' promotion of competing product lines to our detriment; or disputes with current or former distributors;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or improve profit margins, including our ability to utilize our manufacturing facilities at sufficient levels to cover our fixed operating costs, in an intensely competitive and cyclical industry and changing regulatory environment;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or changes in the complex laws, rules and regulations to which we are or may become subject, or actions of enforcement authorities, that restrict our ability to operate our business or subject us to fines, penalties or other legal liability;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and enforce a strong intellectual property portfolio and maintain freedom of operation in all jurisdictions where we conduct business; or our exposure to infringement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make principal and interest payments on our debt when due;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Instability in the global credit and financial markets;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Impairments of our non-financial assets.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a more detailed discussion of these factors, see the Risk factors discussion in Item 1A of our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660"/>
                <wp:effectExtent l="0" t="0" r="0" b="0"/>
                <wp:wrapNone/>
                <wp:docPr id="11" name="Frame1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8</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8</w:t>
                      </w:r>
                      <w:r>
                        <w:rPr>
                          <w:color w:val="000000"/>
                        </w:rPr>
                        <w:t>    </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Texas Instruments</w:t>
      </w:r>
    </w:p>
    <w:p>
      <w:pPr>
        <w:pStyle w:val="TextBody"/>
        <w:bidi w:val="0"/>
        <w:spacing w:lineRule="auto" w:line="288" w:before="240" w:after="283"/>
        <w:jc w:val="left"/>
        <w:rPr/>
      </w:pPr>
      <w:r>
        <w:rPr>
          <w:rFonts w:ascii="Arial;sans-serif" w:hAnsi="Arial;sans-serif"/>
          <w:b w:val="false"/>
          <w:color w:val="000000"/>
          <w:sz w:val="20"/>
        </w:rPr>
        <w:t xml:space="preserve">Texas Instruments Incorporated (Nasdaq: TXN) is a global semiconductor company that designs, manufactures and sells analog and embedded processing chips for markets such as industrial, automotive, data center, personal electronics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sans-serif" w:hAnsi="Arial;sans-serif"/>
          <w:b w:val="false"/>
          <w:color w:val="0E32E1"/>
          <w:sz w:val="20"/>
          <w:u w:val="single"/>
        </w:rPr>
        <w:t>TI.com</w:t>
      </w:r>
      <w:r>
        <w:rPr>
          <w:rFonts w:ascii="Arial;sans-serif" w:hAnsi="Arial;sans-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660"/>
                <wp:effectExtent l="0" t="0" r="0" b="0"/>
                <wp:wrapNone/>
                <wp:docPr id="12" name="Frame1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9</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9</w:t>
                      </w: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2689</Words>
  <Characters>14882</Characters>
  <CharactersWithSpaces>17203</CharactersWithSpaces>
  <Paragraphs>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